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AACA8" w14:textId="77777777" w:rsidR="00A15E6D" w:rsidRDefault="00043BE8" w:rsidP="00A15E6D">
      <w:pPr>
        <w:spacing w:after="0" w:line="240" w:lineRule="auto"/>
        <w:jc w:val="center"/>
        <w:rPr>
          <w:rFonts w:ascii="Times New Roman" w:eastAsia="Times New Roman" w:hAnsi="Times New Roman" w:cs="Times New Roman"/>
          <w:b/>
          <w:bCs/>
          <w:sz w:val="28"/>
          <w:szCs w:val="28"/>
        </w:rPr>
      </w:pPr>
      <w:r w:rsidRPr="00A15E6D">
        <w:rPr>
          <w:rFonts w:ascii="Times New Roman" w:eastAsia="Times New Roman" w:hAnsi="Times New Roman" w:cs="Times New Roman"/>
          <w:b/>
          <w:bCs/>
          <w:sz w:val="28"/>
          <w:szCs w:val="28"/>
        </w:rPr>
        <w:t xml:space="preserve">Pengelolaan Pos Lintas Batas Negara (PLBN) </w:t>
      </w:r>
      <w:r w:rsidRPr="00A15E6D">
        <w:rPr>
          <w:rFonts w:ascii="Times New Roman" w:eastAsia="Times New Roman" w:hAnsi="Times New Roman" w:cs="Times New Roman"/>
          <w:b/>
          <w:bCs/>
          <w:sz w:val="28"/>
          <w:szCs w:val="28"/>
          <w:lang w:val="en-US"/>
        </w:rPr>
        <w:t>d</w:t>
      </w:r>
      <w:r w:rsidRPr="00A15E6D">
        <w:rPr>
          <w:rFonts w:ascii="Times New Roman" w:eastAsia="Times New Roman" w:hAnsi="Times New Roman" w:cs="Times New Roman"/>
          <w:b/>
          <w:bCs/>
          <w:sz w:val="28"/>
          <w:szCs w:val="28"/>
        </w:rPr>
        <w:t>i Wilayah Perbatasan Darat Indonesia</w:t>
      </w:r>
    </w:p>
    <w:p w14:paraId="0A04179C" w14:textId="5A4FC34D" w:rsidR="003C085F" w:rsidRPr="00A15E6D" w:rsidRDefault="00A15E6D" w:rsidP="00A15E6D">
      <w:pPr>
        <w:spacing w:after="0" w:line="240" w:lineRule="auto"/>
        <w:jc w:val="center"/>
        <w:rPr>
          <w:rFonts w:ascii="Times New Roman" w:eastAsia="Times New Roman" w:hAnsi="Times New Roman" w:cs="Times New Roman"/>
          <w:sz w:val="24"/>
          <w:szCs w:val="24"/>
        </w:rPr>
      </w:pPr>
      <w:r w:rsidRPr="00A15E6D">
        <w:rPr>
          <w:rFonts w:ascii="Times New Roman" w:eastAsia="Times New Roman" w:hAnsi="Times New Roman" w:cs="Times New Roman"/>
          <w:sz w:val="24"/>
          <w:szCs w:val="24"/>
        </w:rPr>
        <w:t>(</w:t>
      </w:r>
      <w:r w:rsidR="00043BE8" w:rsidRPr="00A15E6D">
        <w:rPr>
          <w:rFonts w:ascii="Times New Roman" w:eastAsia="Times New Roman" w:hAnsi="Times New Roman" w:cs="Times New Roman"/>
          <w:sz w:val="24"/>
          <w:szCs w:val="24"/>
        </w:rPr>
        <w:t xml:space="preserve">Analisis Hukum Internasional </w:t>
      </w:r>
      <w:r w:rsidR="00043BE8" w:rsidRPr="00A15E6D">
        <w:rPr>
          <w:rFonts w:ascii="Times New Roman" w:eastAsia="Times New Roman" w:hAnsi="Times New Roman" w:cs="Times New Roman"/>
          <w:sz w:val="24"/>
          <w:szCs w:val="24"/>
          <w:lang w:val="en-US"/>
        </w:rPr>
        <w:t>d</w:t>
      </w:r>
      <w:r w:rsidR="00043BE8" w:rsidRPr="00A15E6D">
        <w:rPr>
          <w:rFonts w:ascii="Times New Roman" w:eastAsia="Times New Roman" w:hAnsi="Times New Roman" w:cs="Times New Roman"/>
          <w:sz w:val="24"/>
          <w:szCs w:val="24"/>
        </w:rPr>
        <w:t xml:space="preserve">an Harmonisasi Regulasiprapenuntutan </w:t>
      </w:r>
      <w:r w:rsidR="00043BE8" w:rsidRPr="00A15E6D">
        <w:rPr>
          <w:rFonts w:ascii="Times New Roman" w:eastAsia="Times New Roman" w:hAnsi="Times New Roman" w:cs="Times New Roman"/>
          <w:sz w:val="24"/>
          <w:szCs w:val="24"/>
          <w:lang w:val="en-US"/>
        </w:rPr>
        <w:t>d</w:t>
      </w:r>
      <w:r w:rsidR="00043BE8" w:rsidRPr="00A15E6D">
        <w:rPr>
          <w:rFonts w:ascii="Times New Roman" w:eastAsia="Times New Roman" w:hAnsi="Times New Roman" w:cs="Times New Roman"/>
          <w:sz w:val="24"/>
          <w:szCs w:val="24"/>
        </w:rPr>
        <w:t>an Penuntutan</w:t>
      </w:r>
      <w:r w:rsidRPr="00A15E6D">
        <w:rPr>
          <w:rFonts w:ascii="Times New Roman" w:eastAsia="Times New Roman" w:hAnsi="Times New Roman" w:cs="Times New Roman"/>
          <w:sz w:val="24"/>
          <w:szCs w:val="24"/>
        </w:rPr>
        <w:t>)</w:t>
      </w:r>
    </w:p>
    <w:p w14:paraId="2E596033" w14:textId="77777777" w:rsidR="00BA245F" w:rsidRPr="001E6473" w:rsidRDefault="00BA245F" w:rsidP="00A15E6D">
      <w:pPr>
        <w:spacing w:after="0" w:line="240" w:lineRule="auto"/>
        <w:jc w:val="center"/>
        <w:rPr>
          <w:rFonts w:ascii="Times New Roman" w:eastAsia="Times New Roman" w:hAnsi="Times New Roman" w:cs="Times New Roman"/>
          <w:b/>
          <w:bCs/>
          <w:sz w:val="16"/>
          <w:szCs w:val="16"/>
        </w:rPr>
      </w:pPr>
    </w:p>
    <w:p w14:paraId="269FBCFB" w14:textId="77777777" w:rsidR="00BA245F" w:rsidRPr="00A15E6D" w:rsidRDefault="00BA245F" w:rsidP="00A15E6D">
      <w:pPr>
        <w:spacing w:after="0" w:line="240" w:lineRule="auto"/>
        <w:jc w:val="center"/>
        <w:rPr>
          <w:rFonts w:ascii="Times New Roman" w:eastAsia="Times New Roman" w:hAnsi="Times New Roman" w:cs="Times New Roman"/>
          <w:b/>
          <w:bCs/>
          <w:sz w:val="24"/>
          <w:szCs w:val="24"/>
        </w:rPr>
      </w:pPr>
      <w:r w:rsidRPr="00A15E6D">
        <w:rPr>
          <w:rFonts w:ascii="Times New Roman" w:eastAsia="Times New Roman" w:hAnsi="Times New Roman" w:cs="Times New Roman"/>
          <w:b/>
          <w:bCs/>
          <w:sz w:val="24"/>
          <w:szCs w:val="24"/>
        </w:rPr>
        <w:t>Melati Elpina Siahaan, Jelita Saragih, Yohana Tiur Indah Malau</w:t>
      </w:r>
    </w:p>
    <w:p w14:paraId="7A4FE7E2" w14:textId="068CA2EE" w:rsidR="00BA245F" w:rsidRPr="00A15E6D" w:rsidRDefault="00BA245F" w:rsidP="00A15E6D">
      <w:pPr>
        <w:spacing w:after="0" w:line="240" w:lineRule="auto"/>
        <w:jc w:val="center"/>
        <w:rPr>
          <w:rFonts w:ascii="Times New Roman" w:eastAsia="Times New Roman" w:hAnsi="Times New Roman" w:cs="Times New Roman"/>
          <w:sz w:val="20"/>
          <w:szCs w:val="20"/>
        </w:rPr>
      </w:pPr>
      <w:r w:rsidRPr="00A15E6D">
        <w:rPr>
          <w:rFonts w:ascii="Times New Roman" w:eastAsia="Times New Roman" w:hAnsi="Times New Roman" w:cs="Times New Roman"/>
          <w:sz w:val="20"/>
          <w:szCs w:val="20"/>
          <w:vertAlign w:val="superscript"/>
        </w:rPr>
        <w:t>1</w:t>
      </w:r>
      <w:r w:rsidR="00A15E6D" w:rsidRPr="00A15E6D">
        <w:rPr>
          <w:rFonts w:ascii="Times New Roman" w:eastAsia="Times New Roman" w:hAnsi="Times New Roman" w:cs="Times New Roman"/>
          <w:sz w:val="20"/>
          <w:szCs w:val="20"/>
          <w:vertAlign w:val="superscript"/>
        </w:rPr>
        <w:t>-</w:t>
      </w:r>
      <w:r w:rsidRPr="00A15E6D">
        <w:rPr>
          <w:rFonts w:ascii="Times New Roman" w:eastAsia="Times New Roman" w:hAnsi="Times New Roman" w:cs="Times New Roman"/>
          <w:sz w:val="20"/>
          <w:szCs w:val="20"/>
          <w:vertAlign w:val="superscript"/>
        </w:rPr>
        <w:t>3</w:t>
      </w:r>
      <w:r w:rsidRPr="00A15E6D">
        <w:rPr>
          <w:rFonts w:ascii="Times New Roman" w:eastAsia="Times New Roman" w:hAnsi="Times New Roman" w:cs="Times New Roman"/>
          <w:sz w:val="20"/>
          <w:szCs w:val="20"/>
        </w:rPr>
        <w:t>Program Studi Ilmu Hukum, Fakultas Ilmu Sosial dan Ilmu Politik</w:t>
      </w:r>
      <w:r w:rsidR="00A15E6D" w:rsidRPr="00A15E6D">
        <w:rPr>
          <w:rFonts w:ascii="Times New Roman" w:eastAsia="Times New Roman" w:hAnsi="Times New Roman" w:cs="Times New Roman"/>
          <w:sz w:val="20"/>
          <w:szCs w:val="20"/>
        </w:rPr>
        <w:t xml:space="preserve">. </w:t>
      </w:r>
      <w:r w:rsidRPr="00A15E6D">
        <w:rPr>
          <w:rFonts w:ascii="Times New Roman" w:eastAsia="Times New Roman" w:hAnsi="Times New Roman" w:cs="Times New Roman"/>
          <w:sz w:val="20"/>
          <w:szCs w:val="20"/>
        </w:rPr>
        <w:t>Universitas Maritim Raja Ali Haji, Tanjungpinang</w:t>
      </w:r>
      <w:r w:rsidR="00A15E6D" w:rsidRPr="00A15E6D">
        <w:rPr>
          <w:rFonts w:ascii="Times New Roman" w:eastAsia="Times New Roman" w:hAnsi="Times New Roman" w:cs="Times New Roman"/>
          <w:sz w:val="20"/>
          <w:szCs w:val="20"/>
        </w:rPr>
        <w:t>, Indonesia</w:t>
      </w:r>
    </w:p>
    <w:p w14:paraId="593D0EC2" w14:textId="34553F4E" w:rsidR="003C085F" w:rsidRPr="00A15E6D" w:rsidRDefault="00BA245F" w:rsidP="00A15E6D">
      <w:pPr>
        <w:spacing w:after="0" w:line="240" w:lineRule="auto"/>
        <w:jc w:val="center"/>
        <w:rPr>
          <w:rFonts w:ascii="Times New Roman" w:eastAsia="Times New Roman" w:hAnsi="Times New Roman" w:cs="Times New Roman"/>
          <w:b/>
          <w:bCs/>
          <w:i/>
          <w:iCs/>
          <w:sz w:val="20"/>
          <w:szCs w:val="20"/>
        </w:rPr>
      </w:pPr>
      <w:r w:rsidRPr="00A15E6D">
        <w:rPr>
          <w:rFonts w:ascii="Times New Roman" w:eastAsia="Times New Roman" w:hAnsi="Times New Roman" w:cs="Times New Roman"/>
          <w:i/>
          <w:iCs/>
          <w:sz w:val="20"/>
          <w:szCs w:val="20"/>
        </w:rPr>
        <w:t>Email:</w:t>
      </w:r>
      <w:r w:rsidR="00A15E6D" w:rsidRPr="00A15E6D">
        <w:rPr>
          <w:rFonts w:ascii="Times New Roman" w:hAnsi="Times New Roman" w:cs="Times New Roman"/>
          <w:i/>
          <w:iCs/>
          <w:sz w:val="20"/>
          <w:szCs w:val="20"/>
        </w:rPr>
        <w:t xml:space="preserve"> </w:t>
      </w:r>
      <w:hyperlink r:id="rId8" w:history="1">
        <w:r w:rsidR="00A15E6D" w:rsidRPr="00A15E6D">
          <w:rPr>
            <w:rStyle w:val="Hyperlink"/>
            <w:rFonts w:ascii="Times New Roman" w:eastAsia="Times New Roman" w:hAnsi="Times New Roman" w:cs="Times New Roman"/>
            <w:i/>
            <w:iCs/>
            <w:sz w:val="20"/>
            <w:szCs w:val="20"/>
          </w:rPr>
          <w:t>melatielpinasiahaan@gmail.com</w:t>
        </w:r>
      </w:hyperlink>
      <w:r w:rsidR="00A15E6D" w:rsidRPr="00A15E6D">
        <w:rPr>
          <w:rFonts w:ascii="Times New Roman" w:eastAsia="Times New Roman" w:hAnsi="Times New Roman" w:cs="Times New Roman"/>
          <w:i/>
          <w:iCs/>
          <w:sz w:val="20"/>
          <w:szCs w:val="20"/>
          <w:vertAlign w:val="superscript"/>
        </w:rPr>
        <w:t>1*</w:t>
      </w:r>
      <w:r w:rsidRPr="00A15E6D">
        <w:rPr>
          <w:rFonts w:ascii="Times New Roman" w:eastAsia="Times New Roman" w:hAnsi="Times New Roman" w:cs="Times New Roman"/>
          <w:i/>
          <w:iCs/>
          <w:sz w:val="20"/>
          <w:szCs w:val="20"/>
        </w:rPr>
        <w:t xml:space="preserve">, </w:t>
      </w:r>
      <w:hyperlink r:id="rId9" w:history="1">
        <w:r w:rsidR="00A15E6D" w:rsidRPr="00A15E6D">
          <w:rPr>
            <w:rStyle w:val="Hyperlink"/>
            <w:rFonts w:ascii="Times New Roman" w:eastAsia="Times New Roman" w:hAnsi="Times New Roman" w:cs="Times New Roman"/>
            <w:i/>
            <w:iCs/>
            <w:sz w:val="20"/>
            <w:szCs w:val="20"/>
          </w:rPr>
          <w:t>saragihjelita27@gmail.com</w:t>
        </w:r>
      </w:hyperlink>
      <w:r w:rsidRPr="00A15E6D">
        <w:rPr>
          <w:rFonts w:ascii="Times New Roman" w:eastAsia="Times New Roman" w:hAnsi="Times New Roman" w:cs="Times New Roman"/>
          <w:i/>
          <w:iCs/>
          <w:sz w:val="20"/>
          <w:szCs w:val="20"/>
          <w:vertAlign w:val="superscript"/>
        </w:rPr>
        <w:t>2</w:t>
      </w:r>
      <w:r w:rsidR="00A15E6D" w:rsidRPr="00A15E6D">
        <w:rPr>
          <w:rFonts w:ascii="Times New Roman" w:eastAsia="Times New Roman" w:hAnsi="Times New Roman" w:cs="Times New Roman"/>
          <w:i/>
          <w:iCs/>
          <w:sz w:val="20"/>
          <w:szCs w:val="20"/>
        </w:rPr>
        <w:t xml:space="preserve">, </w:t>
      </w:r>
      <w:hyperlink r:id="rId10" w:history="1">
        <w:r w:rsidRPr="00A15E6D">
          <w:rPr>
            <w:rStyle w:val="Hyperlink"/>
            <w:rFonts w:ascii="Times New Roman" w:eastAsia="Times New Roman" w:hAnsi="Times New Roman" w:cs="Times New Roman"/>
            <w:i/>
            <w:iCs/>
            <w:sz w:val="20"/>
            <w:szCs w:val="20"/>
          </w:rPr>
          <w:t>tiurmalau0301@gmail.com</w:t>
        </w:r>
      </w:hyperlink>
      <w:r w:rsidRPr="00A15E6D">
        <w:rPr>
          <w:rFonts w:ascii="Times New Roman" w:eastAsia="Times New Roman" w:hAnsi="Times New Roman" w:cs="Times New Roman"/>
          <w:i/>
          <w:iCs/>
          <w:sz w:val="20"/>
          <w:szCs w:val="20"/>
          <w:vertAlign w:val="superscript"/>
        </w:rPr>
        <w:t>3</w:t>
      </w:r>
    </w:p>
    <w:p w14:paraId="166C16A0" w14:textId="69426CCF" w:rsidR="003C085F" w:rsidRPr="00A15E6D" w:rsidRDefault="00A15E6D" w:rsidP="00A15E6D">
      <w:pPr>
        <w:spacing w:after="0" w:line="240" w:lineRule="auto"/>
        <w:jc w:val="center"/>
        <w:rPr>
          <w:rFonts w:ascii="Times New Roman" w:eastAsia="Times New Roman" w:hAnsi="Times New Roman" w:cs="Times New Roman"/>
          <w:i/>
          <w:iCs/>
          <w:sz w:val="20"/>
          <w:szCs w:val="20"/>
          <w:vertAlign w:val="superscript"/>
        </w:rPr>
      </w:pPr>
      <w:r w:rsidRPr="00A15E6D">
        <w:rPr>
          <w:rFonts w:ascii="Times New Roman" w:eastAsia="Times New Roman" w:hAnsi="Times New Roman" w:cs="Times New Roman"/>
          <w:i/>
          <w:iCs/>
          <w:sz w:val="20"/>
          <w:szCs w:val="20"/>
          <w:vertAlign w:val="superscript"/>
        </w:rPr>
        <w:t>*</w:t>
      </w:r>
      <w:r w:rsidRPr="00A15E6D">
        <w:rPr>
          <w:rFonts w:ascii="Times New Roman" w:eastAsia="Times New Roman" w:hAnsi="Times New Roman" w:cs="Times New Roman"/>
          <w:i/>
          <w:iCs/>
          <w:sz w:val="20"/>
          <w:szCs w:val="20"/>
        </w:rPr>
        <w:t xml:space="preserve">Penulis korespondensi: </w:t>
      </w:r>
      <w:hyperlink r:id="rId11" w:history="1">
        <w:r w:rsidRPr="00A15E6D">
          <w:rPr>
            <w:rStyle w:val="Hyperlink"/>
            <w:rFonts w:ascii="Times New Roman" w:eastAsia="Times New Roman" w:hAnsi="Times New Roman" w:cs="Times New Roman"/>
            <w:i/>
            <w:iCs/>
            <w:sz w:val="20"/>
            <w:szCs w:val="20"/>
          </w:rPr>
          <w:t>melatielpinasiahaan@gmail.com</w:t>
        </w:r>
      </w:hyperlink>
      <w:r w:rsidRPr="00A15E6D">
        <w:rPr>
          <w:rFonts w:ascii="Times New Roman" w:eastAsia="Times New Roman" w:hAnsi="Times New Roman" w:cs="Times New Roman"/>
          <w:i/>
          <w:iCs/>
          <w:sz w:val="20"/>
          <w:szCs w:val="20"/>
          <w:vertAlign w:val="superscript"/>
        </w:rPr>
        <w:t>1</w:t>
      </w:r>
    </w:p>
    <w:p w14:paraId="55B89E7A" w14:textId="77777777" w:rsidR="00A15E6D" w:rsidRPr="001E6473" w:rsidRDefault="00A15E6D" w:rsidP="00A15E6D">
      <w:pPr>
        <w:spacing w:after="0" w:line="240" w:lineRule="auto"/>
        <w:jc w:val="both"/>
        <w:rPr>
          <w:rFonts w:ascii="Times New Roman" w:eastAsia="Times New Roman" w:hAnsi="Times New Roman" w:cs="Times New Roman"/>
          <w:b/>
          <w:bCs/>
          <w:i/>
          <w:iCs/>
          <w:sz w:val="16"/>
          <w:szCs w:val="16"/>
        </w:rPr>
      </w:pPr>
    </w:p>
    <w:p w14:paraId="4BACAC0D" w14:textId="4D00DCBA" w:rsidR="003C085F" w:rsidRPr="00A15E6D" w:rsidRDefault="00A444B1" w:rsidP="00A15E6D">
      <w:pPr>
        <w:spacing w:after="0" w:line="240" w:lineRule="auto"/>
        <w:jc w:val="both"/>
        <w:rPr>
          <w:rFonts w:ascii="Times New Roman" w:eastAsia="Times New Roman" w:hAnsi="Times New Roman" w:cs="Times New Roman"/>
          <w:i/>
          <w:iCs/>
          <w:sz w:val="20"/>
          <w:szCs w:val="20"/>
        </w:rPr>
      </w:pPr>
      <w:r w:rsidRPr="00A15E6D">
        <w:rPr>
          <w:rFonts w:ascii="Times New Roman" w:eastAsia="Times New Roman" w:hAnsi="Times New Roman" w:cs="Times New Roman"/>
          <w:b/>
          <w:bCs/>
          <w:i/>
          <w:iCs/>
          <w:sz w:val="20"/>
          <w:szCs w:val="20"/>
        </w:rPr>
        <w:t>Abstract</w:t>
      </w:r>
      <w:r w:rsidRPr="00A15E6D">
        <w:rPr>
          <w:rFonts w:ascii="Times New Roman" w:eastAsia="Times New Roman" w:hAnsi="Times New Roman" w:cs="Times New Roman"/>
          <w:i/>
          <w:iCs/>
          <w:sz w:val="20"/>
          <w:szCs w:val="20"/>
        </w:rPr>
        <w:t xml:space="preserve">. </w:t>
      </w:r>
      <w:r w:rsidR="00BA245F" w:rsidRPr="00A15E6D">
        <w:rPr>
          <w:rFonts w:ascii="Times New Roman" w:eastAsia="Times New Roman" w:hAnsi="Times New Roman" w:cs="Times New Roman"/>
          <w:i/>
          <w:iCs/>
          <w:sz w:val="20"/>
          <w:szCs w:val="20"/>
        </w:rPr>
        <w:t>The management of Indonesia's Border Crossing Posts (Pos Lintas Batas Negara/PLBN) in land border areas presents a critical normative gap between the country's international legal obligations and their actual implementation. This study departs from prior descriptive approaches by offering a critical normative-gap analysis that identifies specific disharmonies between bilateral agreements, international conventions, and national legislation governing PLBN operations. Employing a normative juridical method with statute, conceptual, and case approaches, this research examines three focal issues: (1) the normative gap between Indonesia's international legal commitments under instruments such as the United Nations Charter, Vienna Convention on Consular Relations 1963, Revised Kyoto Convention, International Health Regulations 2005, and the United Nations Convention against Transnational Organized Crime (UNTOC), and their domestic implementation; (2) the legal factors generating regulatory disharmony in PLBN governance, particularly the inconsistency between bilateral Border Crossing Agreements with Malaysia and Timor-Leste and national legislation; and (3) specific case-based evidence of implementation failures, including unauthorized border crossings at PLBN Motamasin and the pending boundary delimitation in the Noel Besi Citrana and Bidjael Sunan Oben segments with Timor-Leste. The findings reveal that regulatory disharmony, institutional fragmentation in the CIQS system, inadequate human resource capacity, and unresolved boundary disputes constitute structural legal deficits that undermine the effective governance of PLBN. This article recommends a comprehensive legal harmonization strategy, strengthened bilateral diplomatic engagement, and institutional reform grounded in international legal standards.</w:t>
      </w:r>
    </w:p>
    <w:p w14:paraId="3A5143D8" w14:textId="77777777" w:rsidR="003C085F" w:rsidRPr="001E6473" w:rsidRDefault="003C085F" w:rsidP="00A15E6D">
      <w:pPr>
        <w:spacing w:after="0" w:line="240" w:lineRule="auto"/>
        <w:jc w:val="both"/>
        <w:rPr>
          <w:rFonts w:ascii="Times New Roman" w:eastAsia="Times New Roman" w:hAnsi="Times New Roman" w:cs="Times New Roman"/>
          <w:i/>
          <w:iCs/>
          <w:sz w:val="16"/>
          <w:szCs w:val="16"/>
        </w:rPr>
      </w:pPr>
    </w:p>
    <w:p w14:paraId="21E5A730" w14:textId="15EBEABC" w:rsidR="00A15E6D" w:rsidRPr="00A15E6D" w:rsidRDefault="00A444B1" w:rsidP="00A15E6D">
      <w:pPr>
        <w:spacing w:after="0" w:line="240" w:lineRule="auto"/>
        <w:jc w:val="both"/>
        <w:rPr>
          <w:rFonts w:ascii="Times New Roman" w:eastAsia="Times New Roman" w:hAnsi="Times New Roman" w:cs="Times New Roman"/>
          <w:i/>
          <w:iCs/>
          <w:sz w:val="20"/>
          <w:szCs w:val="20"/>
        </w:rPr>
      </w:pPr>
      <w:r w:rsidRPr="00A15E6D">
        <w:rPr>
          <w:rFonts w:ascii="Times New Roman" w:eastAsia="Times New Roman" w:hAnsi="Times New Roman" w:cs="Times New Roman"/>
          <w:b/>
          <w:bCs/>
          <w:i/>
          <w:iCs/>
          <w:sz w:val="20"/>
          <w:szCs w:val="20"/>
        </w:rPr>
        <w:t>Keywords</w:t>
      </w:r>
      <w:r w:rsidRPr="00A15E6D">
        <w:rPr>
          <w:rFonts w:ascii="Times New Roman" w:eastAsia="Times New Roman" w:hAnsi="Times New Roman" w:cs="Times New Roman"/>
          <w:i/>
          <w:iCs/>
          <w:sz w:val="20"/>
          <w:szCs w:val="20"/>
        </w:rPr>
        <w:t xml:space="preserve">: </w:t>
      </w:r>
      <w:r w:rsidR="00A15E6D" w:rsidRPr="00A15E6D">
        <w:rPr>
          <w:rFonts w:ascii="Times New Roman" w:eastAsia="Times New Roman" w:hAnsi="Times New Roman" w:cs="Times New Roman"/>
          <w:i/>
          <w:iCs/>
          <w:sz w:val="20"/>
          <w:szCs w:val="20"/>
        </w:rPr>
        <w:t>Border Governance; International Law; Normative Gap; PLBN; Regulatory Disharmony.</w:t>
      </w:r>
    </w:p>
    <w:p w14:paraId="7254C6D2" w14:textId="77777777" w:rsidR="003C085F" w:rsidRPr="001E6473" w:rsidRDefault="003C085F" w:rsidP="00A15E6D">
      <w:pPr>
        <w:spacing w:after="0" w:line="240" w:lineRule="auto"/>
        <w:jc w:val="both"/>
        <w:rPr>
          <w:rFonts w:ascii="Times New Roman" w:eastAsia="Times New Roman" w:hAnsi="Times New Roman" w:cs="Times New Roman"/>
          <w:sz w:val="16"/>
          <w:szCs w:val="16"/>
        </w:rPr>
      </w:pPr>
    </w:p>
    <w:p w14:paraId="07ABDE10" w14:textId="42276701" w:rsidR="00BA245F" w:rsidRPr="00A15E6D" w:rsidRDefault="00A444B1" w:rsidP="00A15E6D">
      <w:pPr>
        <w:spacing w:after="0" w:line="240" w:lineRule="auto"/>
        <w:jc w:val="both"/>
        <w:rPr>
          <w:rFonts w:ascii="Times New Roman" w:eastAsia="Times New Roman" w:hAnsi="Times New Roman" w:cs="Times New Roman"/>
          <w:sz w:val="20"/>
          <w:szCs w:val="20"/>
        </w:rPr>
      </w:pPr>
      <w:r w:rsidRPr="00A15E6D">
        <w:rPr>
          <w:rFonts w:ascii="Times New Roman" w:eastAsia="Times New Roman" w:hAnsi="Times New Roman" w:cs="Times New Roman"/>
          <w:b/>
          <w:bCs/>
          <w:sz w:val="20"/>
          <w:szCs w:val="20"/>
        </w:rPr>
        <w:t>Abstrak</w:t>
      </w:r>
      <w:r w:rsidRPr="00A15E6D">
        <w:rPr>
          <w:rFonts w:ascii="Times New Roman" w:eastAsia="Times New Roman" w:hAnsi="Times New Roman" w:cs="Times New Roman"/>
          <w:sz w:val="20"/>
          <w:szCs w:val="20"/>
        </w:rPr>
        <w:t xml:space="preserve">. </w:t>
      </w:r>
      <w:r w:rsidR="00BA245F" w:rsidRPr="00A15E6D">
        <w:rPr>
          <w:rFonts w:ascii="Times New Roman" w:eastAsia="Times New Roman" w:hAnsi="Times New Roman" w:cs="Times New Roman"/>
          <w:sz w:val="20"/>
          <w:szCs w:val="20"/>
        </w:rPr>
        <w:t>Pengelolaan Pos Lintas Batas Negara (PLBN) di wilayah perbatasan darat Indonesia menyimpan kesenjangan normatif yang signifikan antara komitmen hukum internasional dan implementasinya di lapangan. Berbeda dari kajian sebelumnya yang cenderung deskriptif, penelitian ini menawarkan analisis kesenjangan normatif kritis yang mengidentifikasi disharmonisasi spesifik antara perjanjian bilateral, konvensi internasional, dan peraturan perundang-undangan nasional yang mengatur operasional PLBN. Dengan menggunakan metode yuridis normatif melalui pendekatan perundang-undangan (statute approach), pendekatan konseptual (conceptual approach), dan pendekatan kasus (case approach), penelitian ini mengkaji tiga permasalahan utama: (1) kesenjangan normatif antara komitmen hukum internasional Indonesia</w:t>
      </w:r>
      <w:r w:rsidR="00902771" w:rsidRPr="00A15E6D">
        <w:rPr>
          <w:rFonts w:ascii="Times New Roman" w:eastAsia="Times New Roman" w:hAnsi="Times New Roman" w:cs="Times New Roman"/>
          <w:sz w:val="20"/>
          <w:szCs w:val="20"/>
          <w:lang w:val="en-US"/>
        </w:rPr>
        <w:t xml:space="preserve"> </w:t>
      </w:r>
      <w:r w:rsidR="00BA245F" w:rsidRPr="00A15E6D">
        <w:rPr>
          <w:rFonts w:ascii="Times New Roman" w:eastAsia="Times New Roman" w:hAnsi="Times New Roman" w:cs="Times New Roman"/>
          <w:sz w:val="20"/>
          <w:szCs w:val="20"/>
        </w:rPr>
        <w:t>termasuk Piagam PBB, Vienna Convention on Consular Relations 1963, Revised Kyoto Convention, International Health Regulations 2005, dan UNTOC</w:t>
      </w:r>
      <w:r w:rsidR="00902771" w:rsidRPr="00A15E6D">
        <w:rPr>
          <w:rFonts w:ascii="Times New Roman" w:eastAsia="Times New Roman" w:hAnsi="Times New Roman" w:cs="Times New Roman"/>
          <w:sz w:val="20"/>
          <w:szCs w:val="20"/>
          <w:lang w:val="en-US"/>
        </w:rPr>
        <w:t xml:space="preserve"> </w:t>
      </w:r>
      <w:r w:rsidR="00BA245F" w:rsidRPr="00A15E6D">
        <w:rPr>
          <w:rFonts w:ascii="Times New Roman" w:eastAsia="Times New Roman" w:hAnsi="Times New Roman" w:cs="Times New Roman"/>
          <w:sz w:val="20"/>
          <w:szCs w:val="20"/>
        </w:rPr>
        <w:t>dengan implementasi domestiknya; (2) faktor-faktor hukum yang melahirkan disharmonisasi regulasi dalam pengelolaan PLBN, khususnya inkonsistensi antara Border Crossing Agreement dengan Malaysia dan Timor-Leste terhadap regulasi nasional; serta (3) bukti empiris kegagalan implementasi berdasarkan studi kasus konkret, termasuk maraknya pelintas batas ilegal di PLBN Motamasin dan persoalan delimitasi batas di segmen Noel Besi Citrana dan Bidjael Sunan Oben. Hasil penelitian menunjukkan bahwa disharmonisasi regulasi, fragmentasi kelembagaan dalam sistem CIQS, keterbatasan kapasitas sumber daya manusia, dan sengketa batas yang belum terselesaikan merupakan defisit hukum struktural yang menghambat tata kelola PLBN yang efektif. Artikel ini merekomendasikan strategi harmonisasi hukum yang komprehensif, penguatan diplomasi bilateral yang berorientasi hukum, dan reformasi kelembagaan yang berlandaskan standar hukum internasional.</w:t>
      </w:r>
    </w:p>
    <w:p w14:paraId="1C9E4B16" w14:textId="77777777" w:rsidR="003C085F" w:rsidRPr="001E6473" w:rsidRDefault="003C085F" w:rsidP="00A15E6D">
      <w:pPr>
        <w:spacing w:after="0" w:line="240" w:lineRule="auto"/>
        <w:jc w:val="both"/>
        <w:rPr>
          <w:rFonts w:ascii="Times New Roman" w:eastAsia="Times New Roman" w:hAnsi="Times New Roman" w:cs="Times New Roman"/>
          <w:sz w:val="16"/>
          <w:szCs w:val="16"/>
        </w:rPr>
      </w:pPr>
    </w:p>
    <w:p w14:paraId="6131A0EF" w14:textId="0FF2AFD7" w:rsidR="00A15E6D" w:rsidRPr="00A15E6D" w:rsidRDefault="00A444B1" w:rsidP="00A15E6D">
      <w:pPr>
        <w:spacing w:after="0" w:line="240" w:lineRule="auto"/>
        <w:jc w:val="both"/>
        <w:rPr>
          <w:rFonts w:ascii="Times New Roman" w:eastAsia="Times New Roman" w:hAnsi="Times New Roman" w:cs="Times New Roman"/>
          <w:sz w:val="20"/>
          <w:szCs w:val="20"/>
        </w:rPr>
      </w:pPr>
      <w:r w:rsidRPr="00A15E6D">
        <w:rPr>
          <w:rFonts w:ascii="Times New Roman" w:eastAsia="Times New Roman" w:hAnsi="Times New Roman" w:cs="Times New Roman"/>
          <w:b/>
          <w:bCs/>
          <w:sz w:val="20"/>
          <w:szCs w:val="20"/>
        </w:rPr>
        <w:t>Kata kunci</w:t>
      </w:r>
      <w:r w:rsidRPr="00A15E6D">
        <w:rPr>
          <w:rFonts w:ascii="Times New Roman" w:eastAsia="Times New Roman" w:hAnsi="Times New Roman" w:cs="Times New Roman"/>
          <w:sz w:val="20"/>
          <w:szCs w:val="20"/>
        </w:rPr>
        <w:t xml:space="preserve">: </w:t>
      </w:r>
      <w:r w:rsidR="00A15E6D" w:rsidRPr="00A15E6D">
        <w:rPr>
          <w:rFonts w:ascii="Times New Roman" w:eastAsia="Times New Roman" w:hAnsi="Times New Roman" w:cs="Times New Roman"/>
          <w:sz w:val="20"/>
          <w:szCs w:val="20"/>
        </w:rPr>
        <w:t>Disharmonisasi Regulasi; Hukum Internasional; Kesenjangan Normatif; PLBN; Tata Kelola Perbatasan.</w:t>
      </w:r>
    </w:p>
    <w:p w14:paraId="37C9AF22" w14:textId="77777777" w:rsidR="00E660DC" w:rsidRPr="001E6473" w:rsidRDefault="00E660DC" w:rsidP="00A15E6D">
      <w:pPr>
        <w:spacing w:after="0" w:line="360" w:lineRule="auto"/>
        <w:rPr>
          <w:rFonts w:ascii="Times New Roman" w:eastAsia="Times New Roman" w:hAnsi="Times New Roman" w:cs="Times New Roman"/>
          <w:b/>
          <w:bCs/>
          <w:sz w:val="16"/>
          <w:szCs w:val="16"/>
        </w:rPr>
      </w:pPr>
    </w:p>
    <w:p w14:paraId="6237313E" w14:textId="77777777" w:rsidR="003C085F" w:rsidRPr="00A15E6D" w:rsidRDefault="00A444B1" w:rsidP="00A15E6D">
      <w:pPr>
        <w:numPr>
          <w:ilvl w:val="0"/>
          <w:numId w:val="2"/>
        </w:numPr>
        <w:pBdr>
          <w:top w:val="nil"/>
          <w:left w:val="nil"/>
          <w:bottom w:val="nil"/>
          <w:right w:val="nil"/>
          <w:between w:val="nil"/>
        </w:pBdr>
        <w:spacing w:after="0" w:line="360" w:lineRule="auto"/>
        <w:ind w:left="360"/>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LATAR BELAKANG </w:t>
      </w:r>
    </w:p>
    <w:p w14:paraId="7999163C" w14:textId="4067BADE"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Wilayah perbatasan negara merupakan manifestasi fisik sekaligus yuridis dari kedaulatan suatu negara. Dalam perspektif hukum internasional, batas negara dipahami sebagai </w:t>
      </w:r>
      <w:r w:rsidRPr="00A15E6D">
        <w:rPr>
          <w:rFonts w:ascii="Times New Roman" w:hAnsi="Times New Roman" w:cs="Times New Roman"/>
          <w:sz w:val="24"/>
          <w:szCs w:val="24"/>
        </w:rPr>
        <w:lastRenderedPageBreak/>
        <w:t>garis pemisah yurisdiksi antarnegara yang ditetapkan berdasarkan perjanjian internasional dan diakui oleh masyarakat internasional. Konsep ini tidak hanya berkaitan dengan aspek geografis, tetapi juga mencerminkan eksistensi, integritas teritorial, dan kewenangan negara dalam menjalankan fungsi pemerintahan serta perlindungan hukum terhadap warga negaranya (Bangun, 2017). Pemikiran klasik mengenai kedaulatan negara telah lama dikemukakan oleh Jean Bodin yang menyatakan bahwa kedaulatan merupakan kekuasaan tertinggi yang bersifat tetap dan tidak terbagi dalam suatu negara (Bodin, 1576). Dalam perkembangan hukum internasional modern, prinsip kedaulatan kemudian ditegaskan kembali dalam Piagam Perserikatan Bangsa-Bangsa yang mengakui persamaan derajat dan integritas teritorial setiap negara (PBB, 1945).</w:t>
      </w:r>
    </w:p>
    <w:p w14:paraId="00F6E5D3" w14:textId="77777777"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Sebagai negara kepulauan terbesar di dunia, Indonesia memiliki karakteristik geografis yang kompleks dengan wilayah perbatasan darat dan laut yang sangat luas. Indonesia berbatasan langsung dengan Malaysia di Pulau Kalimantan sepanjang kurang lebih 2.004 kilometer, Papua Nugini di Pulau Papua sepanjang 820 kilometer, serta Timor-Leste di Pulau Timor. Kompleksitas tersebut menempatkan kawasan perbatasan sebagai ruang strategis yang memiliki dimensi pertahanan, keamanan, ekonomi, sosial, budaya, hingga diplomasi internasional (Presiden Republik Indonesia, 2022). Dalam konteks hukum internasional, pengelolaan wilayah perbatasan tidak hanya menjadi urusan domestik semata, tetapi juga berkaitan dengan kewajiban internasional negara dalam menjaga stabilitas kawasan dan menghormati perjanjian lintas batas yang telah disepakati (Siahaan, 2021).</w:t>
      </w:r>
    </w:p>
    <w:p w14:paraId="21E9E0FA" w14:textId="6678AB8A"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Permasalahan perbatasan Indonesia tidak dapat dilepaskan dari dinamika sejarah pembentukan batas wilayah yang diwariskan sejak era kolonial. Prinsip uti possidetis juris yang digunakan dalam penetapan batas wilayah negara pascakolonial menempatkan garis administratif kolonial sebagai dasar penentuan batas negara modern (Ekon, 2020). Prinsip tersebut juga pernah ditegaskan dalam putusan International Court of Justice pada kasus Burkina Faso v. Mali yang menekankan pentingnya stabilitas batas negara demi mencegah konflik antarnegara (Faso &amp; Mali, 1986). Dalam praktiknya, penerapan prinsip tersebut di Indonesia masih menghadapi berbagai kendala, terutama pada wilayah perbatasan dengan Timor-Leste yang hingga kini masih menyisakan beberapa segmen batas yang belum terselesaikan secara definitif (Herin, 2025).</w:t>
      </w:r>
    </w:p>
    <w:p w14:paraId="5AB38A17" w14:textId="3E59C59E"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Dalam kerangka pengelolaan kawasan perbatasan, Pos Lintas Batas Negara (PLBN) memiliki posisi strategis sebagai pintu gerbang utama negara. PLBN tidak hanya berfungsi sebagai tempat pemeriksaan keimigrasian dan kepabeanan, tetapi juga menjadi representasi simbolik kehadiran negara di wilayah terluar. Keberadaan PLBN mencerminkan kemampuan negara dalam mengimplementasikan norma hukum internasional ke dalam sistem hukum nasional secara efektif. Oleh sebab itu, pengelolaan PLBN tidak dapat dilepaskan dari kewajiban Indonesia untuk melaksanakan berbagai instrumen hukum internasional yang telah diratifikasi maupun diadopsi dalam praktik nasional.</w:t>
      </w:r>
    </w:p>
    <w:p w14:paraId="154F43C5" w14:textId="14FF1B3D"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Dalam beberapa tahun terakhir, pemerintah Indonesia menunjukkan komitmen yang kuat terhadap pembangunan kawasan perbatasan melalui pembangunan PLBN terpadu. Komitmen tersebut diwujudkan melalui Instruksi Presiden Nomor 6 Tahun 2015 tentang Percepatan Pembangunan 7 Pos Lintas Batas Negara Terpadu dan diperluas melalui Instruksi Presiden Nomor 1 Tahun 2019 tentang Percepatan Pembangunan 11 PLBN Terpadu. Kebijakan ini menjadi bagian dari agenda pembangunan nasional yang menempatkan kawasan perbatasan sebagai “beranda depan negara” (Presiden Republik Indonesia, 2015; Presiden Republik Indonesia, 2019). Selain itu, pemerintah juga menetapkan Peraturan Presiden Nomor 118 Tahun 2022 tentang Rencana Induk Pengelolaan Batas Wilayah Negara dan Kawasan Perbatasan Tahun 2020–2024 sebagai pedoman strategis pengelolaan perbatasan secara terpadu dan berkelanjutan (Presiden Republik Indonesia, 2022).</w:t>
      </w:r>
    </w:p>
    <w:p w14:paraId="1CE79A62" w14:textId="77777777"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Meskipun pembangunan infrastruktur PLBN berkembang pesat, efektivitas implementasi hukum internasional dalam tata kelola PLBN masih menghadapi berbagai persoalan. Berbagai instrumen internasional seperti Revised Kyoto Convention, International Health Regulations (IHR) 2005, United Nations Convention against Transnational Organized Crime (UNTOC), hingga Vienna Convention on Consular Relations (VCCR) 1963 mengatur kewajiban negara dalam pengawasan lintas batas, pelayanan keimigrasian, perlindungan kesehatan, dan kerja sama penegakan hukum internasional. Namun, implementasi norma-norma tersebut di Indonesia belum sepenuhnya terintegrasi dalam regulasi nasional maupun praktik administratif di lapangan (World Health Organization, 2005).</w:t>
      </w:r>
    </w:p>
    <w:p w14:paraId="1E26D96D" w14:textId="77777777"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Ketidakharmonisan regulasi tersebut terlihat dari masih adanya tumpang tindih kewenangan antarinstansi di kawasan perbatasan. Badan Nasional Pengelola Perbatasan (BNPP), Direktorat Jenderal Imigrasi, Bea Cukai, TNI, Polri, pemerintah daerah, serta kementerian teknis lainnya memiliki kewenangan yang saling berkaitan namun belum sepenuhnya terkoordinasi secara efektif. Kondisi ini menyebabkan lemahnya sinkronisasi kebijakan dan berpotensi menimbulkan ketidakpastian hukum dalam pelaksanaan pengawasan lintas batas (BNPP, 2026). Di sisi lain, perkembangan mobilitas manusia dan barang lintas negara juga meningkatkan risiko kejahatan transnasional seperti perdagangan manusia, penyelundupan narkotika, imigran ilegal, dan penyelundupan barang (Gokok et al., 2023).</w:t>
      </w:r>
    </w:p>
    <w:p w14:paraId="5564DE2B" w14:textId="19C4A8A9"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Salah satu contoh konkret dapat dilihat pada PLBN Motamasin di perbatasan Indonesia–Timor-Leste. Kawasan ini masih menghadapi berbagai persoalan, mulai dari sengketa batas wilayah, keterbatasan sarana pengawasan, hingga praktik perlintasan tidak resmi yang dilakukan masyarakat lintas batas. BNPP bahkan mengeluarkan standar operasional prosedur khusus terkait pembukaan portal di luar jam pelayanan karena tingginya dinamika sosial masyarakat perbatasan (BNPP, 2024). Kondisi tersebut menunjukkan bahwa pengelolaan PLBN tidak cukup hanya berorientasi pada pembangunan fisik, tetapi juga memerlukan harmonisasi hukum yang mampu menjawab realitas sosial dan kebutuhan keamanan perbatasan secara komprehensif.</w:t>
      </w:r>
    </w:p>
    <w:p w14:paraId="19ABEED7" w14:textId="77777777"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Di samping itu, implementasi kewajiban internasional juga berkaitan erat dengan mekanisme pembentukan dan keberlakuan perjanjian internasional dalam hukum nasional. Undang-Undang Nomor 24 Tahun 2000 tentang Perjanjian Internasional menjadi dasar hukum utama dalam pengesahan perjanjian internasional di Indonesia. Akan tetapi, keberadaan perjanjian internasional tidak selalu diikuti dengan harmonisasi regulasi teknis pada tingkat implementasi sehingga menimbulkan kesenjangan normatif antara norma internasional dan praktik nasional (Presiden Republik Indonesia, 2000). Bahkan, dalam beberapa kasus, instrumen kerja sama lintas batas masih berbentuk memorandum of understanding (MoU) yang kedudukannya tidak selalu memiliki kekuatan mengikat seperti perjanjian internasional formal (Setiyaningsih et al., 2020).</w:t>
      </w:r>
    </w:p>
    <w:p w14:paraId="44002BF5" w14:textId="28872966"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Kajian akademik mengenai PLBN dan hukum perbatasan Indonesia sejauh ini masih didominasi pendekatan deskriptif normatif yang hanya memetakan regulasi tanpa mengkaji secara mendalam kesenjangan implementasi hukum internasional dalam pengelolaan PLBN. Padahal, persoalan utama yang dihadapi Indonesia bukan terletak pada ketiadaan regulasi, melainkan pada disharmonisasi antara komitmen internasional dengan sistem hukum nasional dan praktik administratif di lapangan. Ketidaksinkronan tersebut pada akhirnya menciptakan grey area hukum yang membuka peluang terjadinya pelanggaran lintas batas serta melemahkan perlindungan hukum terhadap masyarakat perbatasan.</w:t>
      </w:r>
    </w:p>
    <w:p w14:paraId="71A2D54D" w14:textId="644BE4E6"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Selain itu, pendekatan hak asasi manusia dalam pengelolaan perbatasan juga belum menjadi perhatian utama. Padahal, kawasan perbatasan merupakan ruang interaksi manusia yang rentan terhadap pelanggaran hak-hak dasar, termasuk hak atas identitas, akses pelayanan publik, kesehatan, dan perlindungan hukum. Pemerintah sebenarnya telah menerbitkan Peraturan Menteri Hukum dan HAM Nomor 16 Tahun 2024 tentang Pedoman Pengarusutamaan Hak Asasi Manusia dalam Pembentukan Peraturan Perundang-undangan sebagai landasan integrasi HAM dalam kebijakan nasional (Kementerian Hukum dan Hak Asasi Manusia Republik Indonesia, 2024). Namun implementasinya dalam regulasi pengelolaan PLBN masih belum optimal.</w:t>
      </w:r>
    </w:p>
    <w:p w14:paraId="0EDDD7C6" w14:textId="77777777"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Di bidang keimigrasian, pemerintah juga telah memperbarui kerangka pengawasan melalui Peraturan Menteri Imigrasi dan Pemasyarakatan Nomor 2 Tahun 2025 tentang Pengawasan Keimigrasian dan Tindakan Administratif Keimigrasian. Regulasi ini menunjukkan upaya negara dalam memperkuat pengawasan terhadap lalu lintas orang di kawasan perbatasan (Kementerian Imigrasi dan Pemasyarakatan Republik Indonesia, 2025). Akan tetapi, penguatan regulasi sektoral belum sepenuhnya mampu menyelesaikan persoalan koordinasi lintas lembaga dan sinkronisasi dengan norma hukum internasional.</w:t>
      </w:r>
    </w:p>
    <w:p w14:paraId="1F084A87" w14:textId="77777777" w:rsidR="00E660DC" w:rsidRPr="00A15E6D"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Berdasarkan uraian tersebut, penelitian ini memiliki kebaruan (novelty) dalam tiga aspek utama. Pertama, penelitian ini melakukan normative gap analysis secara sistematis terhadap kesenjangan antara kewajiban hukum internasional dan regulasi nasional terkait pengelolaan PLBN. Kedua, penelitian ini menggunakan pendekatan kasus (case approach) dengan menelaah kondisi konkret di PLBN Motamasin dan sengketa segmen batas Indonesia–Timor-Leste sebagai basis analisis empiris hukum. Ketiga, penelitian ini menawarkan model harmonisasi regulasi berbasis hierarki norma hukum internasional dan pendekatan desentralisasi asimetris guna memperkuat efektivitas tata kelola kawasan perbatasan Indonesia.</w:t>
      </w:r>
    </w:p>
    <w:p w14:paraId="508AEA58" w14:textId="4E994A42" w:rsidR="00BA245F" w:rsidRDefault="00E660DC"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Dengan demikian, rumusan masalah dalam penelitian ini difokuskan pada dua pertanyaan utama, yaitu: (1) bagaimana kesenjangan normatif antara komitmen hukum internasional Indonesia dengan implementasi aktual pengelolaan PLBN di wilayah perbatasan darat; dan (2) faktor-faktor hukum apa yang menyebabkan disharmonisasi regulasi dalam pengelolaan PLBN serta bagaimana solusi harmonisasinya berdasarkan prinsip-prinsip hukum internasional yang berlaku.</w:t>
      </w:r>
    </w:p>
    <w:p w14:paraId="54C37F8A" w14:textId="77777777" w:rsidR="00A15E6D" w:rsidRPr="00A15E6D" w:rsidRDefault="00A15E6D" w:rsidP="00A15E6D">
      <w:pPr>
        <w:spacing w:after="0" w:line="360" w:lineRule="auto"/>
        <w:ind w:firstLine="630"/>
        <w:jc w:val="both"/>
        <w:rPr>
          <w:rFonts w:ascii="Times New Roman" w:hAnsi="Times New Roman" w:cs="Times New Roman"/>
          <w:sz w:val="24"/>
          <w:szCs w:val="24"/>
        </w:rPr>
      </w:pPr>
    </w:p>
    <w:p w14:paraId="33A81E68" w14:textId="77777777" w:rsidR="003C085F" w:rsidRPr="00A15E6D" w:rsidRDefault="00A444B1" w:rsidP="00A15E6D">
      <w:pPr>
        <w:numPr>
          <w:ilvl w:val="0"/>
          <w:numId w:val="2"/>
        </w:numPr>
        <w:pBdr>
          <w:top w:val="nil"/>
          <w:left w:val="nil"/>
          <w:bottom w:val="nil"/>
          <w:right w:val="nil"/>
          <w:between w:val="nil"/>
        </w:pBdr>
        <w:spacing w:after="0" w:line="360" w:lineRule="auto"/>
        <w:ind w:left="360"/>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KAJIAN TEORITIS </w:t>
      </w:r>
    </w:p>
    <w:p w14:paraId="43C5B601" w14:textId="68181602" w:rsidR="00EA7B44" w:rsidRPr="00A15E6D" w:rsidRDefault="00EA7B44" w:rsidP="00A15E6D">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Teori Kedaulatan Negara Jean Bodin </w:t>
      </w:r>
    </w:p>
    <w:p w14:paraId="4534D688" w14:textId="329B6B52" w:rsidR="00B22A77" w:rsidRPr="00A15E6D" w:rsidRDefault="00EA7B44" w:rsidP="00A15E6D">
      <w:pPr>
        <w:spacing w:after="0" w:line="360" w:lineRule="auto"/>
        <w:ind w:firstLine="630"/>
        <w:jc w:val="both"/>
        <w:rPr>
          <w:rFonts w:ascii="Times New Roman" w:eastAsia="Times New Roman" w:hAnsi="Times New Roman" w:cs="Times New Roman"/>
          <w:color w:val="000000"/>
          <w:sz w:val="24"/>
          <w:szCs w:val="24"/>
        </w:rPr>
      </w:pPr>
      <w:r w:rsidRPr="00A15E6D">
        <w:rPr>
          <w:rFonts w:ascii="Times New Roman" w:eastAsia="Times New Roman" w:hAnsi="Times New Roman" w:cs="Times New Roman"/>
          <w:color w:val="000000"/>
          <w:sz w:val="24"/>
          <w:szCs w:val="24"/>
        </w:rPr>
        <w:t xml:space="preserve">Teori kedaulatan negara menjadi fondasi filosofis paling mendasar dalam penelitian pengelolaan PLBN. Konsep ini pertama kali dirumuskan secara sistematis oleh Jean Bodin dalam </w:t>
      </w:r>
      <w:r w:rsidRPr="00A15E6D">
        <w:rPr>
          <w:rFonts w:ascii="Times New Roman" w:hAnsi="Times New Roman" w:cs="Times New Roman"/>
          <w:sz w:val="24"/>
          <w:szCs w:val="24"/>
        </w:rPr>
        <w:t>karyanya</w:t>
      </w:r>
      <w:r w:rsidRPr="00A15E6D">
        <w:rPr>
          <w:rFonts w:ascii="Times New Roman" w:eastAsia="Times New Roman" w:hAnsi="Times New Roman" w:cs="Times New Roman"/>
          <w:color w:val="000000"/>
          <w:sz w:val="24"/>
          <w:szCs w:val="24"/>
        </w:rPr>
        <w:t xml:space="preserve"> </w:t>
      </w:r>
      <w:r w:rsidRPr="00A15E6D">
        <w:rPr>
          <w:rFonts w:ascii="Times New Roman" w:eastAsia="Times New Roman" w:hAnsi="Times New Roman" w:cs="Times New Roman"/>
          <w:i/>
          <w:iCs/>
          <w:color w:val="000000"/>
          <w:sz w:val="24"/>
          <w:szCs w:val="24"/>
        </w:rPr>
        <w:t>Les Six Livres de la République</w:t>
      </w:r>
      <w:r w:rsidRPr="00A15E6D">
        <w:rPr>
          <w:rFonts w:ascii="Times New Roman" w:eastAsia="Times New Roman" w:hAnsi="Times New Roman" w:cs="Times New Roman"/>
          <w:color w:val="000000"/>
          <w:sz w:val="24"/>
          <w:szCs w:val="24"/>
        </w:rPr>
        <w:t xml:space="preserve"> (1576), yang mendefinisikan kedaulatan sebagai kekuasaan tertinggi yang bersifat tunggal, asli, abadi, dan tidak dapat dibagi-bagikan kepada pihak lain dalam suatu negara. Dalam perkembangannya, konsep ini bertransformasi dari yang bersifat absolut menjadi lebih relatif dan kontekstual dalam hukum internasional modern. Kedaulatan kini dipahami dalam dua dimensi yang saling melengkapi: kedaulatan ke dalam (</w:t>
      </w:r>
      <w:r w:rsidRPr="00A15E6D">
        <w:rPr>
          <w:rFonts w:ascii="Times New Roman" w:eastAsia="Times New Roman" w:hAnsi="Times New Roman" w:cs="Times New Roman"/>
          <w:i/>
          <w:iCs/>
          <w:color w:val="000000"/>
          <w:sz w:val="24"/>
          <w:szCs w:val="24"/>
        </w:rPr>
        <w:t>internal sovereignty</w:t>
      </w:r>
      <w:r w:rsidRPr="00A15E6D">
        <w:rPr>
          <w:rFonts w:ascii="Times New Roman" w:eastAsia="Times New Roman" w:hAnsi="Times New Roman" w:cs="Times New Roman"/>
          <w:color w:val="000000"/>
          <w:sz w:val="24"/>
          <w:szCs w:val="24"/>
        </w:rPr>
        <w:t>) sebagai kewenangan tertinggi mengatur urusan dalam negeri, dan kedaulatan ke luar (</w:t>
      </w:r>
      <w:r w:rsidRPr="00A15E6D">
        <w:rPr>
          <w:rFonts w:ascii="Times New Roman" w:eastAsia="Times New Roman" w:hAnsi="Times New Roman" w:cs="Times New Roman"/>
          <w:i/>
          <w:iCs/>
          <w:color w:val="000000"/>
          <w:sz w:val="24"/>
          <w:szCs w:val="24"/>
        </w:rPr>
        <w:t xml:space="preserve">external sovereignty) </w:t>
      </w:r>
      <w:r w:rsidRPr="00A15E6D">
        <w:rPr>
          <w:rFonts w:ascii="Times New Roman" w:eastAsia="Times New Roman" w:hAnsi="Times New Roman" w:cs="Times New Roman"/>
          <w:color w:val="000000"/>
          <w:sz w:val="24"/>
          <w:szCs w:val="24"/>
        </w:rPr>
        <w:t xml:space="preserve">sebagai kesetaraan posisi negara di hadapan masyarakat internasional, yang keduanya dijamin oleh Pasal 2 ayat (1) Piagam PBB. Relevansinya terhadap PLBN sangat langsung: setiap kebijakan pengelolaan pos lintas batas mulai dari prosedur CIQS hingga penyelesaian sengketa wilayah merupakan ekspresi konkret dari kedaulatan negara yang harus dijalankan sesuai standar hukum internasional. Selain itu, konsep </w:t>
      </w:r>
      <w:r w:rsidRPr="00A15E6D">
        <w:rPr>
          <w:rFonts w:ascii="Times New Roman" w:eastAsia="Times New Roman" w:hAnsi="Times New Roman" w:cs="Times New Roman"/>
          <w:i/>
          <w:iCs/>
          <w:color w:val="000000"/>
          <w:sz w:val="24"/>
          <w:szCs w:val="24"/>
        </w:rPr>
        <w:t>effective control</w:t>
      </w:r>
      <w:r w:rsidRPr="00A15E6D">
        <w:rPr>
          <w:rFonts w:ascii="Times New Roman" w:eastAsia="Times New Roman" w:hAnsi="Times New Roman" w:cs="Times New Roman"/>
          <w:color w:val="000000"/>
          <w:sz w:val="24"/>
          <w:szCs w:val="24"/>
        </w:rPr>
        <w:t xml:space="preserve"> yang berakar dari teori ini menjadikan operasional PLBN yang konsisten sebagai salah satu bukti pelaksanaan kedaulatan yang dapat memperkuat posisi hukum Indonesia dalam negosiasi batas wilayah, khususnya di segmen Noel Besi Citrana dan Bidjael Sunan Oben dengan Timor-Leste.</w:t>
      </w:r>
    </w:p>
    <w:p w14:paraId="4A464CA3" w14:textId="5E270EE5" w:rsidR="00902771" w:rsidRPr="00A15E6D" w:rsidRDefault="00902771" w:rsidP="00A15E6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Prinsip Uti Possidetis Juris Kasus Burkina Faso v. Mali (1986) </w:t>
      </w:r>
    </w:p>
    <w:p w14:paraId="7E1CC50B" w14:textId="70030738" w:rsidR="00EA7B44" w:rsidRPr="00A15E6D" w:rsidRDefault="00902771" w:rsidP="00A15E6D">
      <w:pPr>
        <w:spacing w:after="0" w:line="360" w:lineRule="auto"/>
        <w:ind w:firstLine="630"/>
        <w:jc w:val="both"/>
        <w:rPr>
          <w:rFonts w:ascii="Times New Roman" w:eastAsia="Times New Roman" w:hAnsi="Times New Roman" w:cs="Times New Roman"/>
          <w:color w:val="000000"/>
          <w:sz w:val="24"/>
          <w:szCs w:val="24"/>
        </w:rPr>
      </w:pPr>
      <w:r w:rsidRPr="00A15E6D">
        <w:rPr>
          <w:rFonts w:ascii="Times New Roman" w:eastAsia="Times New Roman" w:hAnsi="Times New Roman" w:cs="Times New Roman"/>
          <w:color w:val="000000"/>
          <w:sz w:val="24"/>
          <w:szCs w:val="24"/>
        </w:rPr>
        <w:t xml:space="preserve">Prinsip uti </w:t>
      </w:r>
      <w:r w:rsidRPr="00A15E6D">
        <w:rPr>
          <w:rFonts w:ascii="Times New Roman" w:hAnsi="Times New Roman" w:cs="Times New Roman"/>
          <w:sz w:val="24"/>
          <w:szCs w:val="24"/>
        </w:rPr>
        <w:t>possidetis</w:t>
      </w:r>
      <w:r w:rsidRPr="00A15E6D">
        <w:rPr>
          <w:rFonts w:ascii="Times New Roman" w:eastAsia="Times New Roman" w:hAnsi="Times New Roman" w:cs="Times New Roman"/>
          <w:color w:val="000000"/>
          <w:sz w:val="24"/>
          <w:szCs w:val="24"/>
        </w:rPr>
        <w:t xml:space="preserve"> juris merupakan salah satu pilar utama hukum internasional dalam penetapan batas wilayah negara. Secara harfiah berasal dari frasa Latin "</w:t>
      </w:r>
      <w:r w:rsidRPr="00A15E6D">
        <w:rPr>
          <w:rFonts w:ascii="Times New Roman" w:eastAsia="Times New Roman" w:hAnsi="Times New Roman" w:cs="Times New Roman"/>
          <w:i/>
          <w:iCs/>
          <w:color w:val="000000"/>
          <w:sz w:val="24"/>
          <w:szCs w:val="24"/>
        </w:rPr>
        <w:t>ita possideatis</w:t>
      </w:r>
      <w:r w:rsidRPr="00A15E6D">
        <w:rPr>
          <w:rFonts w:ascii="Times New Roman" w:eastAsia="Times New Roman" w:hAnsi="Times New Roman" w:cs="Times New Roman"/>
          <w:color w:val="000000"/>
          <w:sz w:val="24"/>
          <w:szCs w:val="24"/>
        </w:rPr>
        <w:t xml:space="preserve">" yang berarti "Anda dapat tetap memiliki apa yang Anda miliki," prinsip ini mengharuskan negara-negara yang baru merdeka untuk mengakui batas-batas administratif kolonial yang berlaku pada saat kemerdekaan sebagai batas negara yang sah dan mengikat secara hukum internasional. Otoritas prinsip ini dalam hukum internasional modern dikukuhkan secara tegas oleh Mahkamah Internasional dalam kasus Burkina Faso v. Mali tahun 1986, di mana </w:t>
      </w:r>
      <w:r w:rsidRPr="00A15E6D">
        <w:rPr>
          <w:rFonts w:ascii="Times New Roman" w:eastAsia="Times New Roman" w:hAnsi="Times New Roman" w:cs="Times New Roman"/>
          <w:i/>
          <w:iCs/>
          <w:color w:val="000000"/>
          <w:sz w:val="24"/>
          <w:szCs w:val="24"/>
        </w:rPr>
        <w:t>Provisional Agreement</w:t>
      </w:r>
      <w:r w:rsidRPr="00A15E6D">
        <w:rPr>
          <w:rFonts w:ascii="Times New Roman" w:eastAsia="Times New Roman" w:hAnsi="Times New Roman" w:cs="Times New Roman"/>
          <w:color w:val="000000"/>
          <w:sz w:val="24"/>
          <w:szCs w:val="24"/>
        </w:rPr>
        <w:t xml:space="preserve"> 2005 yang lahir dari proses negosiasi serupa menyisakan segmen yang belum terselesaikan, yakni </w:t>
      </w:r>
      <w:r w:rsidRPr="00A15E6D">
        <w:rPr>
          <w:rFonts w:ascii="Times New Roman" w:eastAsia="Times New Roman" w:hAnsi="Times New Roman" w:cs="Times New Roman"/>
          <w:i/>
          <w:iCs/>
          <w:color w:val="000000"/>
          <w:sz w:val="24"/>
          <w:szCs w:val="24"/>
        </w:rPr>
        <w:t>Bijaelsunan-Oben, Noelbesi-Citrana</w:t>
      </w:r>
      <w:r w:rsidRPr="00A15E6D">
        <w:rPr>
          <w:rFonts w:ascii="Times New Roman" w:eastAsia="Times New Roman" w:hAnsi="Times New Roman" w:cs="Times New Roman"/>
          <w:color w:val="000000"/>
          <w:sz w:val="24"/>
          <w:szCs w:val="24"/>
        </w:rPr>
        <w:t xml:space="preserve">, dan </w:t>
      </w:r>
      <w:r w:rsidRPr="00A15E6D">
        <w:rPr>
          <w:rFonts w:ascii="Times New Roman" w:eastAsia="Times New Roman" w:hAnsi="Times New Roman" w:cs="Times New Roman"/>
          <w:i/>
          <w:iCs/>
          <w:color w:val="000000"/>
          <w:sz w:val="24"/>
          <w:szCs w:val="24"/>
        </w:rPr>
        <w:t>Dilumil-Memo</w:t>
      </w:r>
      <w:r w:rsidRPr="00A15E6D">
        <w:rPr>
          <w:rFonts w:ascii="Times New Roman" w:eastAsia="Times New Roman" w:hAnsi="Times New Roman" w:cs="Times New Roman"/>
          <w:color w:val="000000"/>
          <w:sz w:val="24"/>
          <w:szCs w:val="24"/>
        </w:rPr>
        <w:t xml:space="preserve">. prinsip ini dalam penelitian ini sangat nyata: batas darat Indonesia dengan Malaysia di Kalimantan mengacu pada Konvensi Belanda-Inggris 1891, sedangkan batas dengan Timor-Leste merujuk pada perjanjian Belanda-Portugal antara tahun 1859 hingga 1904. Ambiguitas interpretasi atas perjanjian-perjanjian kolonial itulah yang menjadi akar persoalan hukum di segmen-segmen yang belum terselesaikan tersebut. Di samping prinsip ini, kerangka </w:t>
      </w:r>
      <w:r w:rsidRPr="00A15E6D">
        <w:rPr>
          <w:rFonts w:ascii="Times New Roman" w:eastAsia="Times New Roman" w:hAnsi="Times New Roman" w:cs="Times New Roman"/>
          <w:i/>
          <w:iCs/>
          <w:color w:val="000000"/>
          <w:sz w:val="24"/>
          <w:szCs w:val="24"/>
        </w:rPr>
        <w:t>Vienna Convention on the Law of Treaties</w:t>
      </w:r>
      <w:r w:rsidRPr="00A15E6D">
        <w:rPr>
          <w:rFonts w:ascii="Times New Roman" w:eastAsia="Times New Roman" w:hAnsi="Times New Roman" w:cs="Times New Roman"/>
          <w:color w:val="000000"/>
          <w:sz w:val="24"/>
          <w:szCs w:val="24"/>
        </w:rPr>
        <w:t xml:space="preserve"> 1969 (VCLT) dan doktrin pacta sunt servanda-nya mewajibkan Indonesia untuk melaksanakan seluruh perjanjian yang telah ditandatanganinya dengan itikad baik, sehingga menjadi landasan hukum bagi tuntutan konsistensi antara komitmen internasional dan implementasi domestik pengelolaan PLBN.</w:t>
      </w:r>
    </w:p>
    <w:p w14:paraId="125E05DC" w14:textId="6473734F" w:rsidR="00902771" w:rsidRPr="00A15E6D" w:rsidRDefault="00902771" w:rsidP="00A15E6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Peran BNPP dalam Tata Kelola PLBN</w:t>
      </w:r>
    </w:p>
    <w:p w14:paraId="3C137D4C" w14:textId="77777777" w:rsidR="00902771" w:rsidRPr="00A15E6D" w:rsidRDefault="00902771" w:rsidP="00A15E6D">
      <w:pPr>
        <w:spacing w:after="0" w:line="360" w:lineRule="auto"/>
        <w:ind w:firstLine="630"/>
        <w:jc w:val="both"/>
        <w:rPr>
          <w:rFonts w:ascii="Times New Roman" w:eastAsia="Times New Roman" w:hAnsi="Times New Roman" w:cs="Times New Roman"/>
          <w:color w:val="000000"/>
          <w:sz w:val="24"/>
          <w:szCs w:val="24"/>
        </w:rPr>
      </w:pPr>
      <w:r w:rsidRPr="00A15E6D">
        <w:rPr>
          <w:rFonts w:ascii="Times New Roman" w:eastAsia="Times New Roman" w:hAnsi="Times New Roman" w:cs="Times New Roman"/>
          <w:color w:val="000000"/>
          <w:sz w:val="24"/>
          <w:szCs w:val="24"/>
        </w:rPr>
        <w:t>Badan Nasional Pengelola Perbatasan (BNPP) merupakan lembaga yang dibentuk berdasarkan UU No. 43 Tahun 2008 dan dioperasionalkan melalui Perpres No. 12 Tahun 2010 yang kemudian diperbarui dengan Perpres No. 44 Tahun 2017, dengan kedudukan sebagai koordinator pengelolaan perbatasan negara di tingkat pusat. Berdasarkan informasi resmi dari laman BNPP RI (bnpp.go.id), lembaga ini secara aktif menjalankan fungsi koordinasi lintas kementerian dalam pengelolaan PLBN, termasuk percepatan penataan ruang kawasan perbatasan seperti eks OBP Simantipal dan Pulau Sebatik, serta menjaga hubungan diplomatik dengan negara-negara tetangga termasuk Timor-Leste.  (bnpp) Namun, penelitian ini mengidentifikasi kelemahan struktural yang kritis: BNPP hanya memiliki kewenangan koordinatif tanpa kewenangan eksekutif langsung, sehingga tidak dapat memaksakan harmonisasi lintas sektoral dalam sistem CIQS kepada masing-masing kementerian teknis. Aspek keimigrasian tetap berada di bawah Ditjen Imigrasi Kemenkumham, kepabeanan di bawah Ditjen Bea Cukai Kemenkeu, karantina di bawah kementerian terkait, dan keamanan di bawah TNI/Polri. Fragmentasi kelembagaan inilah yang menjadi salah satu faktor utama disharmonisasi regulasi PLBN. Oleh karena itu, reformasi yang memberikan BNPP kewenangan eksekutif yang lebih kuat menjadi rekomendasi mendesak dalam penelitian ini.</w:t>
      </w:r>
    </w:p>
    <w:p w14:paraId="52BAA52C" w14:textId="3433D954" w:rsidR="00902771" w:rsidRPr="00A15E6D" w:rsidRDefault="00902771" w:rsidP="00A15E6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lang w:val="en-US"/>
        </w:rPr>
      </w:pPr>
      <w:r w:rsidRPr="00A15E6D">
        <w:rPr>
          <w:rFonts w:ascii="Times New Roman" w:eastAsia="Times New Roman" w:hAnsi="Times New Roman" w:cs="Times New Roman"/>
          <w:b/>
          <w:bCs/>
          <w:color w:val="000000"/>
          <w:sz w:val="24"/>
          <w:szCs w:val="24"/>
        </w:rPr>
        <w:t>UNTOC 2000 Konvensi Palerm</w:t>
      </w:r>
      <w:r w:rsidRPr="00A15E6D">
        <w:rPr>
          <w:rFonts w:ascii="Times New Roman" w:eastAsia="Times New Roman" w:hAnsi="Times New Roman" w:cs="Times New Roman"/>
          <w:b/>
          <w:bCs/>
          <w:color w:val="000000"/>
          <w:sz w:val="24"/>
          <w:szCs w:val="24"/>
          <w:lang w:val="en-US"/>
        </w:rPr>
        <w:t>o</w:t>
      </w:r>
    </w:p>
    <w:p w14:paraId="5D5F7DA5" w14:textId="0BEB5B8A" w:rsidR="00902771" w:rsidRPr="00A15E6D" w:rsidRDefault="00902771" w:rsidP="00A15E6D">
      <w:pPr>
        <w:spacing w:after="0" w:line="360" w:lineRule="auto"/>
        <w:ind w:firstLine="630"/>
        <w:jc w:val="both"/>
        <w:rPr>
          <w:rFonts w:ascii="Times New Roman" w:eastAsia="Times New Roman" w:hAnsi="Times New Roman" w:cs="Times New Roman"/>
          <w:color w:val="000000"/>
          <w:sz w:val="24"/>
          <w:szCs w:val="24"/>
        </w:rPr>
      </w:pPr>
      <w:r w:rsidRPr="00A15E6D">
        <w:rPr>
          <w:rFonts w:ascii="Times New Roman" w:eastAsia="Times New Roman" w:hAnsi="Times New Roman" w:cs="Times New Roman"/>
          <w:color w:val="000000"/>
          <w:sz w:val="24"/>
          <w:szCs w:val="24"/>
        </w:rPr>
        <w:t>UNTOC atau Konvensi Palermo diadopsi melalui Resolusi Majelis Umum PBB No. 55/25 pada 15 November 2000 dan merupakan instrumen internasional utama dalam pemberantasan kejahatan lintas batas terorganisasi.</w:t>
      </w:r>
      <w:r w:rsidRPr="00A15E6D">
        <w:rPr>
          <w:rFonts w:ascii="Times New Roman" w:eastAsia="Times New Roman" w:hAnsi="Times New Roman" w:cs="Times New Roman"/>
          <w:color w:val="000000"/>
          <w:sz w:val="24"/>
          <w:szCs w:val="24"/>
          <w:lang w:val="en-US"/>
        </w:rPr>
        <w:t xml:space="preserve"> </w:t>
      </w:r>
      <w:r w:rsidRPr="00A15E6D">
        <w:rPr>
          <w:rFonts w:ascii="Times New Roman" w:eastAsia="Times New Roman" w:hAnsi="Times New Roman" w:cs="Times New Roman"/>
          <w:color w:val="000000"/>
          <w:sz w:val="24"/>
          <w:szCs w:val="24"/>
        </w:rPr>
        <w:t xml:space="preserve">(UNODC) Konvensi yang juga dikenal sebagai </w:t>
      </w:r>
      <w:r w:rsidRPr="00A15E6D">
        <w:rPr>
          <w:rFonts w:ascii="Times New Roman" w:eastAsia="Times New Roman" w:hAnsi="Times New Roman" w:cs="Times New Roman"/>
          <w:i/>
          <w:iCs/>
          <w:color w:val="000000"/>
          <w:sz w:val="24"/>
          <w:szCs w:val="24"/>
        </w:rPr>
        <w:t>Palermo Convention</w:t>
      </w:r>
      <w:r w:rsidRPr="00A15E6D">
        <w:rPr>
          <w:rFonts w:ascii="Times New Roman" w:eastAsia="Times New Roman" w:hAnsi="Times New Roman" w:cs="Times New Roman"/>
          <w:color w:val="000000"/>
          <w:sz w:val="24"/>
          <w:szCs w:val="24"/>
        </w:rPr>
        <w:t xml:space="preserve"> ini adalah satu-satunya instrumen hukum global yang mengikat secara hukum, di mana pemerintah berkomitmen untuk bertindak dan bekerja sama melawan kejahatan terorganisasi, dan telah diratifikasi oleh 192 negara pihak menjadikannya salah satu konvensi PBB yang paling banyak diratifikasi.  (UNODC) Indonesia telah meratifikasi UNTOC melalui UU No. 5 Tahun 2009, yang berarti Indonesia terikat kewajiban untuk mengkriminalisasi penyelundupan migran (</w:t>
      </w:r>
      <w:r w:rsidRPr="00A15E6D">
        <w:rPr>
          <w:rFonts w:ascii="Times New Roman" w:eastAsia="Times New Roman" w:hAnsi="Times New Roman" w:cs="Times New Roman"/>
          <w:i/>
          <w:iCs/>
          <w:color w:val="000000"/>
          <w:sz w:val="24"/>
          <w:szCs w:val="24"/>
        </w:rPr>
        <w:t>smuggling of migrants</w:t>
      </w:r>
      <w:r w:rsidRPr="00A15E6D">
        <w:rPr>
          <w:rFonts w:ascii="Times New Roman" w:eastAsia="Times New Roman" w:hAnsi="Times New Roman" w:cs="Times New Roman"/>
          <w:color w:val="000000"/>
          <w:sz w:val="24"/>
          <w:szCs w:val="24"/>
        </w:rPr>
        <w:t>), membangun mekanisme kerja sama intelijen lintas batas, dan memperkuat penegakan hukum bersama dengan negara-negara tetangga. Relevansi UNTOC terhadap penelitian ini sangat konkret: praktik pelintas batas ilegal yang masif melalui "jalan tikus" di sekitar PLBN Motamasin, yang difasilitasi oleh ketiadaan perjanjian bilateral yang memadai antara Indonesia dan Timor-Leste, secara teknis dapat dikategorikan sebagai pelanggaran terhadap protokol penyelundupan migran UNTOC. Namun, penerapan ketentuan ini memerlukan koordinasi bilateral yang kuat dengan Timor-Leste yang juga harus mengharmonisasikan hukum domestiknya dengan UNTOC sesuatu yang belum terwujud secara efektif hingga saat ini.</w:t>
      </w:r>
    </w:p>
    <w:p w14:paraId="33641C07" w14:textId="59111230" w:rsidR="00902771" w:rsidRPr="00A15E6D" w:rsidRDefault="00902771" w:rsidP="00A15E6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UU No. 43 Tahun 2008 tentang Wilayah Negara (Sumber 5)</w:t>
      </w:r>
    </w:p>
    <w:p w14:paraId="22940067" w14:textId="6D8443C4" w:rsidR="00902771" w:rsidRPr="00A15E6D" w:rsidRDefault="00902771" w:rsidP="00A15E6D">
      <w:pPr>
        <w:spacing w:after="0" w:line="360" w:lineRule="auto"/>
        <w:ind w:firstLine="630"/>
        <w:jc w:val="both"/>
        <w:rPr>
          <w:rFonts w:ascii="Times New Roman" w:eastAsia="Times New Roman" w:hAnsi="Times New Roman" w:cs="Times New Roman"/>
          <w:color w:val="000000"/>
          <w:sz w:val="24"/>
          <w:szCs w:val="24"/>
        </w:rPr>
      </w:pPr>
      <w:r w:rsidRPr="00A15E6D">
        <w:rPr>
          <w:rFonts w:ascii="Times New Roman" w:eastAsia="Times New Roman" w:hAnsi="Times New Roman" w:cs="Times New Roman"/>
          <w:color w:val="000000"/>
          <w:sz w:val="24"/>
          <w:szCs w:val="24"/>
        </w:rPr>
        <w:t>UU No. 43 Tahun 2008 tentang Wilayah Negara dilandasi oleh pengakuan bahwa Negara Kesatuan Republik Indonesia sebagai negara kepulauan yang berciri nusantara memiliki kedaulatan atas wilayahnya serta hak-hak berdaulat di luar wilayah kedaulatannya yang harus dikelola dan dimanfaatkan sebesar-besarnya bagi kesejahteraan dan kemakmuran rakyat Indonesia sesuai amanat UUD 1945.  (</w:t>
      </w:r>
      <w:r w:rsidRPr="00A15E6D">
        <w:rPr>
          <w:rFonts w:ascii="Times New Roman" w:eastAsia="Times New Roman" w:hAnsi="Times New Roman" w:cs="Times New Roman"/>
          <w:i/>
          <w:iCs/>
          <w:color w:val="000000"/>
          <w:sz w:val="24"/>
          <w:szCs w:val="24"/>
        </w:rPr>
        <w:t>Leks&amp;Co</w:t>
      </w:r>
      <w:r w:rsidRPr="00A15E6D">
        <w:rPr>
          <w:rFonts w:ascii="Times New Roman" w:eastAsia="Times New Roman" w:hAnsi="Times New Roman" w:cs="Times New Roman"/>
          <w:color w:val="000000"/>
          <w:sz w:val="24"/>
          <w:szCs w:val="24"/>
        </w:rPr>
        <w:t>) Undang-undang ini mencakup pengaturan tentang ketentuan umum, asas dan tujuan, ruang lingkup wilayah negara, hak-hak berdaulat, kewenangan, kelembagaan, peran serta masyarakat, larangan, hingga ketentuan pidana.  (BPK) Untuk mengelola batas wilayah negara dan kawasan perbatasan di tingkat pusat dan daerah, undang-undang ini mengamanatkan pembentukan Badan Pengelola Nasional di tingkat pusat dan Badan Pengelola Daerah di tingkat daerah, yang dalam implementasinya bernama BNPP, dengan tugas antara lain menetapkan kebijakan program pembangunan perbatasan.  (Hukumonline) Dalam konteks penelitian ini, UU 43/2008 merupakan instrumen hukum domestik paling fundamental yang menjadi landasan seluruh sistem pengelolaan PLBN. Meskipun undang-undang ini telah memberikan landasan hukum yang komprehensif, penelitian ini menemukan bahwa terdapat kesenjangan normatif antara amanat undang-undang dengan kapasitas implementasinya di lapangan terutama karena BNPP yang diamanatkan oleh undang-undang ini tidak dilengkapi dengan kewenangan eksekutif yang memadai untuk memastikan keterpaduan sistem CIQS secara efektif.</w:t>
      </w:r>
    </w:p>
    <w:p w14:paraId="22E02A50" w14:textId="760A8EB9" w:rsidR="00902771" w:rsidRPr="00A15E6D" w:rsidRDefault="00902771" w:rsidP="00A15E6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Sengketa Batas Indonesia-Timor Leste </w:t>
      </w:r>
    </w:p>
    <w:p w14:paraId="0298EA3C" w14:textId="2A9E3027" w:rsidR="00902771" w:rsidRPr="00A15E6D" w:rsidRDefault="00902771" w:rsidP="00A15E6D">
      <w:pPr>
        <w:spacing w:after="0" w:line="360" w:lineRule="auto"/>
        <w:ind w:firstLine="630"/>
        <w:jc w:val="both"/>
        <w:rPr>
          <w:rFonts w:ascii="Times New Roman" w:eastAsia="Times New Roman" w:hAnsi="Times New Roman" w:cs="Times New Roman"/>
          <w:color w:val="000000"/>
          <w:sz w:val="24"/>
          <w:szCs w:val="24"/>
        </w:rPr>
      </w:pPr>
      <w:r w:rsidRPr="00A15E6D">
        <w:rPr>
          <w:rFonts w:ascii="Times New Roman" w:eastAsia="Times New Roman" w:hAnsi="Times New Roman" w:cs="Times New Roman"/>
          <w:color w:val="000000"/>
          <w:sz w:val="24"/>
          <w:szCs w:val="24"/>
        </w:rPr>
        <w:t xml:space="preserve">Perundingan perbatasan antara Indonesia dan Timor-Leste telah dilakukan sejak 2001 dengan pemerintahan transisi bentukan PBB (UNTAET), kemudian dilanjutkan dengan pemerintahan resmi Timor-Leste sejak 2002 melalui Komite Perbatasan Gabungan (JBC). Hasilnya adalah Perjanjian Sementara 2005 yang menetapkan batas darat sepanjang 268,8 kilometer dengan 907 titik koordinat, namun baru menyelesaikan sekitar 96 persen urusan perbatasan darat, sementara sisa 4 persen yang mencakup wilayah </w:t>
      </w:r>
      <w:r w:rsidRPr="00A15E6D">
        <w:rPr>
          <w:rFonts w:ascii="Times New Roman" w:eastAsia="Times New Roman" w:hAnsi="Times New Roman" w:cs="Times New Roman"/>
          <w:i/>
          <w:iCs/>
          <w:color w:val="000000"/>
          <w:sz w:val="24"/>
          <w:szCs w:val="24"/>
        </w:rPr>
        <w:t>Noel Besi</w:t>
      </w:r>
      <w:r w:rsidRPr="00A15E6D">
        <w:rPr>
          <w:rFonts w:ascii="Times New Roman" w:eastAsia="Times New Roman" w:hAnsi="Times New Roman" w:cs="Times New Roman"/>
          <w:i/>
          <w:iCs/>
          <w:color w:val="000000"/>
          <w:sz w:val="24"/>
          <w:szCs w:val="24"/>
          <w:lang w:val="en-US"/>
        </w:rPr>
        <w:t xml:space="preserve"> </w:t>
      </w:r>
      <w:r w:rsidRPr="00A15E6D">
        <w:rPr>
          <w:rFonts w:ascii="Times New Roman" w:eastAsia="Times New Roman" w:hAnsi="Times New Roman" w:cs="Times New Roman"/>
          <w:i/>
          <w:iCs/>
          <w:color w:val="000000"/>
          <w:sz w:val="24"/>
          <w:szCs w:val="24"/>
        </w:rPr>
        <w:t>Citrana, Bidjael Sunan</w:t>
      </w:r>
      <w:r w:rsidRPr="00A15E6D">
        <w:rPr>
          <w:rFonts w:ascii="Times New Roman" w:eastAsia="Times New Roman" w:hAnsi="Times New Roman" w:cs="Times New Roman"/>
          <w:i/>
          <w:iCs/>
          <w:color w:val="000000"/>
          <w:sz w:val="24"/>
          <w:szCs w:val="24"/>
          <w:lang w:val="en-US"/>
        </w:rPr>
        <w:t xml:space="preserve"> </w:t>
      </w:r>
      <w:r w:rsidRPr="00A15E6D">
        <w:rPr>
          <w:rFonts w:ascii="Times New Roman" w:eastAsia="Times New Roman" w:hAnsi="Times New Roman" w:cs="Times New Roman"/>
          <w:i/>
          <w:iCs/>
          <w:color w:val="000000"/>
          <w:sz w:val="24"/>
          <w:szCs w:val="24"/>
        </w:rPr>
        <w:t>Oben,</w:t>
      </w:r>
      <w:r w:rsidRPr="00A15E6D">
        <w:rPr>
          <w:rFonts w:ascii="Times New Roman" w:eastAsia="Times New Roman" w:hAnsi="Times New Roman" w:cs="Times New Roman"/>
          <w:color w:val="000000"/>
          <w:sz w:val="24"/>
          <w:szCs w:val="24"/>
        </w:rPr>
        <w:t xml:space="preserve"> dan Dilumil-Memo belum disepakati karena perbedaan tafsir antara kedua negara.  (Kompas) Ambiguitas batas wilayah di segmen-segmen ini secara langsung mempengaruhi legitimasi operasional PLBN di kawasan tersebut, karena yurisdiksi yang belum final menciptakan ruang abu-abu hukum bagi petugas PLBN dalam menentukan garis batas pemeriksaan. Pada tahun 2019, Indonesia dan Timor-Leste menyepakati secara prinsip penyelesaian batas darat di segmen Noel Besi-Citrana dan Bidjael Sunan-Oben, dengan kesepakatan yang akan dituangkan dalam adendum perjanjian batas 2005 dan nantinya dalam perjanjian komprehensif kedua negara.  (Kompas) Namun, dalam perspektif penelitian ini, kesepakatan prinsip tersebut belum diterjemahkan menjadi perjanjian bilateral yang komprehensif dan berkekuatan hukum penuh, sehingga ambiguitas yurisdiksi di lapangan masih tetap menjadi hambatan struktural bagi pengelolaan PLBN yang efektif dan kepastian hukum bagi masyarakat perbatasan.</w:t>
      </w:r>
    </w:p>
    <w:p w14:paraId="6D5B1976" w14:textId="77777777" w:rsidR="00A15E6D" w:rsidRDefault="00A15E6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72B353A1" w14:textId="0E12412D" w:rsidR="003C085F" w:rsidRPr="00A15E6D" w:rsidRDefault="00A444B1" w:rsidP="00A15E6D">
      <w:pPr>
        <w:numPr>
          <w:ilvl w:val="0"/>
          <w:numId w:val="2"/>
        </w:numPr>
        <w:pBdr>
          <w:top w:val="nil"/>
          <w:left w:val="nil"/>
          <w:bottom w:val="nil"/>
          <w:right w:val="nil"/>
          <w:between w:val="nil"/>
        </w:pBdr>
        <w:spacing w:after="0" w:line="360" w:lineRule="auto"/>
        <w:ind w:left="360"/>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METODE PENELITIAN </w:t>
      </w:r>
    </w:p>
    <w:p w14:paraId="1417EBE9"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Penelitian ini menggunakan metode penelitian hukum normatif (normative legal research) yang berfokus pada norma-norma hukum sebagai objek kajian utama. Metode ini dipilih </w:t>
      </w:r>
      <w:r w:rsidRPr="00A15E6D">
        <w:rPr>
          <w:rFonts w:ascii="Times New Roman" w:eastAsia="Times New Roman" w:hAnsi="Times New Roman" w:cs="Times New Roman"/>
          <w:color w:val="000000"/>
          <w:sz w:val="24"/>
          <w:szCs w:val="24"/>
        </w:rPr>
        <w:t>karena</w:t>
      </w:r>
      <w:r w:rsidRPr="00A15E6D">
        <w:rPr>
          <w:rFonts w:ascii="Times New Roman" w:hAnsi="Times New Roman" w:cs="Times New Roman"/>
          <w:sz w:val="24"/>
          <w:szCs w:val="24"/>
        </w:rPr>
        <w:t xml:space="preserve"> tujuan penelitian adalah mengidentifikasi kesenjangan normatif dan merekonstruksi argumen hukum yang lebih koheren dalam konteks pengelolaan PLBN. Adapun pendekatan yang digunakan dalam penelitian ini mencakup tiga pendekatan sekaligus, yakni: (1) pendekatan perundang-undangan (statute approach), (2) pendekatan konseptual (conceptual approach), dan (3) pendekatan kasus (case approach).</w:t>
      </w:r>
    </w:p>
    <w:p w14:paraId="74C20F40" w14:textId="6343D89F"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Pendekatan perundang-undangan digunakan untuk mengkaji secara sistematis seluruh instrumen hukum internasional dan peraturan perundang-undangan nasional yang berkaitan dengan </w:t>
      </w:r>
      <w:r w:rsidRPr="00A15E6D">
        <w:rPr>
          <w:rFonts w:ascii="Times New Roman" w:eastAsia="Times New Roman" w:hAnsi="Times New Roman" w:cs="Times New Roman"/>
          <w:color w:val="000000"/>
          <w:sz w:val="24"/>
          <w:szCs w:val="24"/>
        </w:rPr>
        <w:t>pengelolaan</w:t>
      </w:r>
      <w:r w:rsidRPr="00A15E6D">
        <w:rPr>
          <w:rFonts w:ascii="Times New Roman" w:hAnsi="Times New Roman" w:cs="Times New Roman"/>
          <w:sz w:val="24"/>
          <w:szCs w:val="24"/>
        </w:rPr>
        <w:t xml:space="preserve"> PLBN, meliputi Piagam PBB 1945, </w:t>
      </w:r>
      <w:r w:rsidRPr="00A15E6D">
        <w:rPr>
          <w:rFonts w:ascii="Times New Roman" w:hAnsi="Times New Roman" w:cs="Times New Roman"/>
          <w:i/>
          <w:iCs/>
          <w:sz w:val="24"/>
          <w:szCs w:val="24"/>
        </w:rPr>
        <w:t xml:space="preserve">Vienna Convention on the Law of Treaties </w:t>
      </w:r>
      <w:r w:rsidRPr="00A15E6D">
        <w:rPr>
          <w:rFonts w:ascii="Times New Roman" w:hAnsi="Times New Roman" w:cs="Times New Roman"/>
          <w:sz w:val="24"/>
          <w:szCs w:val="24"/>
        </w:rPr>
        <w:t xml:space="preserve">1969, </w:t>
      </w:r>
      <w:r w:rsidRPr="00A15E6D">
        <w:rPr>
          <w:rFonts w:ascii="Times New Roman" w:hAnsi="Times New Roman" w:cs="Times New Roman"/>
          <w:i/>
          <w:iCs/>
          <w:sz w:val="24"/>
          <w:szCs w:val="24"/>
        </w:rPr>
        <w:t>Vienna Convention on Consular Relations</w:t>
      </w:r>
      <w:r w:rsidRPr="00A15E6D">
        <w:rPr>
          <w:rFonts w:ascii="Times New Roman" w:hAnsi="Times New Roman" w:cs="Times New Roman"/>
          <w:sz w:val="24"/>
          <w:szCs w:val="24"/>
        </w:rPr>
        <w:t xml:space="preserve"> 1963, </w:t>
      </w:r>
      <w:r w:rsidRPr="00A15E6D">
        <w:rPr>
          <w:rFonts w:ascii="Times New Roman" w:hAnsi="Times New Roman" w:cs="Times New Roman"/>
          <w:i/>
          <w:iCs/>
          <w:sz w:val="24"/>
          <w:szCs w:val="24"/>
        </w:rPr>
        <w:t>Revised Kyoto</w:t>
      </w:r>
      <w:r w:rsidRPr="00A15E6D">
        <w:rPr>
          <w:rFonts w:ascii="Times New Roman" w:hAnsi="Times New Roman" w:cs="Times New Roman"/>
          <w:sz w:val="24"/>
          <w:szCs w:val="24"/>
        </w:rPr>
        <w:t xml:space="preserve"> </w:t>
      </w:r>
      <w:r w:rsidRPr="00A15E6D">
        <w:rPr>
          <w:rFonts w:ascii="Times New Roman" w:hAnsi="Times New Roman" w:cs="Times New Roman"/>
          <w:i/>
          <w:iCs/>
          <w:sz w:val="24"/>
          <w:szCs w:val="24"/>
        </w:rPr>
        <w:t>Convention</w:t>
      </w:r>
      <w:r w:rsidRPr="00A15E6D">
        <w:rPr>
          <w:rFonts w:ascii="Times New Roman" w:hAnsi="Times New Roman" w:cs="Times New Roman"/>
          <w:sz w:val="24"/>
          <w:szCs w:val="24"/>
        </w:rPr>
        <w:t xml:space="preserve"> 1999, </w:t>
      </w:r>
      <w:r w:rsidRPr="00A15E6D">
        <w:rPr>
          <w:rFonts w:ascii="Times New Roman" w:hAnsi="Times New Roman" w:cs="Times New Roman"/>
          <w:i/>
          <w:iCs/>
          <w:sz w:val="24"/>
          <w:szCs w:val="24"/>
        </w:rPr>
        <w:t>International Health Regulations</w:t>
      </w:r>
      <w:r w:rsidRPr="00A15E6D">
        <w:rPr>
          <w:rFonts w:ascii="Times New Roman" w:hAnsi="Times New Roman" w:cs="Times New Roman"/>
          <w:sz w:val="24"/>
          <w:szCs w:val="24"/>
        </w:rPr>
        <w:t xml:space="preserve"> 2005, UNTOC/Konvensi Palermo 2000, Undang-Undang Nomor 43 Tahun 2008 tentang Wilayah Negara, Undang-Undang Nomor 6 Tahun 2011 tentang Keimigrasian, serta berbagai peraturan pelaksanaannya.</w:t>
      </w:r>
    </w:p>
    <w:p w14:paraId="53D00C23"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Pendekatan konseptual digunakan untuk mengelaborasi konsep-konsep hukum fundamental yang menjadi landasan analisis, antara lain konsep kedaulatan territorial (</w:t>
      </w:r>
      <w:r w:rsidRPr="00A15E6D">
        <w:rPr>
          <w:rFonts w:ascii="Times New Roman" w:hAnsi="Times New Roman" w:cs="Times New Roman"/>
          <w:i/>
          <w:iCs/>
          <w:sz w:val="24"/>
          <w:szCs w:val="24"/>
        </w:rPr>
        <w:t>territorial sovereignty</w:t>
      </w:r>
      <w:r w:rsidRPr="00A15E6D">
        <w:rPr>
          <w:rFonts w:ascii="Times New Roman" w:hAnsi="Times New Roman" w:cs="Times New Roman"/>
          <w:sz w:val="24"/>
          <w:szCs w:val="24"/>
        </w:rPr>
        <w:t xml:space="preserve">), uti possidetis juris, prinsip non-refoulement, serta konsep kesenjangan </w:t>
      </w:r>
      <w:r w:rsidRPr="00A15E6D">
        <w:rPr>
          <w:rFonts w:ascii="Times New Roman" w:eastAsia="Times New Roman" w:hAnsi="Times New Roman" w:cs="Times New Roman"/>
          <w:color w:val="000000"/>
          <w:sz w:val="24"/>
          <w:szCs w:val="24"/>
        </w:rPr>
        <w:t>normatif</w:t>
      </w:r>
      <w:r w:rsidRPr="00A15E6D">
        <w:rPr>
          <w:rFonts w:ascii="Times New Roman" w:hAnsi="Times New Roman" w:cs="Times New Roman"/>
          <w:sz w:val="24"/>
          <w:szCs w:val="24"/>
        </w:rPr>
        <w:t xml:space="preserve"> (normative gap) dan disharmonisasi regulasi dalam konteks hukum internasional dan hukum nasional. Pendekatan ini penting untuk membangun kerangka analisis yang koheren dalam menilai apakah implementasi PLBN telah sesuai dengan standar norma hukum internasional.</w:t>
      </w:r>
    </w:p>
    <w:p w14:paraId="6F6E82F0" w14:textId="2A676AF8"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Pendekatan kasus digunakan untuk menganalisis situasi konkret yang terjadi di lapangan sebagai landasan empirik-hukum, khususnya: (a) kasus pelanggaran lintas batas di sekitar PLBN Motamasin, </w:t>
      </w:r>
      <w:r w:rsidRPr="00A15E6D">
        <w:rPr>
          <w:rFonts w:ascii="Times New Roman" w:eastAsia="Times New Roman" w:hAnsi="Times New Roman" w:cs="Times New Roman"/>
          <w:color w:val="000000"/>
          <w:sz w:val="24"/>
          <w:szCs w:val="24"/>
        </w:rPr>
        <w:t>Kabupaten</w:t>
      </w:r>
      <w:r w:rsidRPr="00A15E6D">
        <w:rPr>
          <w:rFonts w:ascii="Times New Roman" w:hAnsi="Times New Roman" w:cs="Times New Roman"/>
          <w:sz w:val="24"/>
          <w:szCs w:val="24"/>
        </w:rPr>
        <w:t xml:space="preserve"> Malaka, Nusa Tenggara Timur; (b) persoalan hukum dalam sengketa batas Indonesia-Timor Leste di segmen Noel Besi Citrana dan Bidjael Sunan Oben yang belum terselesaikan; dan (c) kesenjangan implementasi sistem CIQS (</w:t>
      </w:r>
      <w:r w:rsidRPr="00A15E6D">
        <w:rPr>
          <w:rFonts w:ascii="Times New Roman" w:hAnsi="Times New Roman" w:cs="Times New Roman"/>
          <w:i/>
          <w:iCs/>
          <w:sz w:val="24"/>
          <w:szCs w:val="24"/>
        </w:rPr>
        <w:t>Customs, Immigration, Quarantine, Security</w:t>
      </w:r>
      <w:r w:rsidRPr="00A15E6D">
        <w:rPr>
          <w:rFonts w:ascii="Times New Roman" w:hAnsi="Times New Roman" w:cs="Times New Roman"/>
          <w:sz w:val="24"/>
          <w:szCs w:val="24"/>
        </w:rPr>
        <w:t>) di jalur lintas batas tradisional (Jalur B dan Jalur C). Data dikumpulkan melalui studi kepustakaan terhadap sumber primer, sekunder, dan tersier yang telah diverifikasi validitas dan aksesibilitasnya.</w:t>
      </w:r>
    </w:p>
    <w:p w14:paraId="647463E4" w14:textId="77777777" w:rsidR="00A15E6D" w:rsidRDefault="00A15E6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563DFB43" w14:textId="3EF552C0" w:rsidR="00BA245F" w:rsidRPr="00A15E6D" w:rsidRDefault="00A444B1" w:rsidP="00A15E6D">
      <w:pPr>
        <w:numPr>
          <w:ilvl w:val="0"/>
          <w:numId w:val="2"/>
        </w:numPr>
        <w:pBdr>
          <w:top w:val="nil"/>
          <w:left w:val="nil"/>
          <w:bottom w:val="nil"/>
          <w:right w:val="nil"/>
          <w:between w:val="nil"/>
        </w:pBdr>
        <w:spacing w:after="0" w:line="360" w:lineRule="auto"/>
        <w:ind w:left="360"/>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 xml:space="preserve">HASIL DAN PEMBAHASAN </w:t>
      </w:r>
    </w:p>
    <w:p w14:paraId="22DD1761" w14:textId="5FBE7423" w:rsidR="00BA245F" w:rsidRPr="00A15E6D" w:rsidRDefault="00BA245F" w:rsidP="00A15E6D">
      <w:pPr>
        <w:spacing w:after="0" w:line="360" w:lineRule="auto"/>
        <w:jc w:val="both"/>
        <w:rPr>
          <w:rFonts w:ascii="Times New Roman" w:hAnsi="Times New Roman" w:cs="Times New Roman"/>
          <w:sz w:val="24"/>
          <w:szCs w:val="24"/>
        </w:rPr>
      </w:pPr>
      <w:r w:rsidRPr="00A15E6D">
        <w:rPr>
          <w:rFonts w:ascii="Times New Roman" w:hAnsi="Times New Roman" w:cs="Times New Roman"/>
          <w:b/>
          <w:bCs/>
          <w:sz w:val="24"/>
          <w:szCs w:val="24"/>
        </w:rPr>
        <w:t>Kerangka Hukum Internasional dan Landasan Konseptual Pengelolaan PLBN</w:t>
      </w:r>
    </w:p>
    <w:p w14:paraId="16D69625" w14:textId="5493DADA"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Pengelolaan PLBN sebagai instrumen kedaulatan negara tidak dapat dilepaskan dari landasan filosofis dan normatif hukum internasional. Jean Bodin melalui karyanya </w:t>
      </w:r>
      <w:r w:rsidRPr="00A15E6D">
        <w:rPr>
          <w:rFonts w:ascii="Times New Roman" w:hAnsi="Times New Roman" w:cs="Times New Roman"/>
          <w:i/>
          <w:iCs/>
          <w:sz w:val="24"/>
          <w:szCs w:val="24"/>
        </w:rPr>
        <w:t>Les Six Livres de la République</w:t>
      </w:r>
      <w:r w:rsidRPr="00A15E6D">
        <w:rPr>
          <w:rFonts w:ascii="Times New Roman" w:hAnsi="Times New Roman" w:cs="Times New Roman"/>
          <w:sz w:val="24"/>
          <w:szCs w:val="24"/>
        </w:rPr>
        <w:t xml:space="preserve"> meletakkan dasar konseptual kedaulatan sebagai kekuasaan tertinggi yang tidak dapat dibagi dalam suatu negara. Dalam perkembangannya, konsep kedaulatan mengalami transformasi dari sifat yang absolut menuju relatif, di mana pengakuan kedaulatan negara selalu disertai kewajiban untuk menghormati norma-norma hukum internasional. Prinsip ini tercermin dalam Pasal 2 ayat (1) Piagam Perserikatan Bangsa-Bangsa yang menegaskan persamaan kedaulatan setiap anggota PBB.</w:t>
      </w:r>
    </w:p>
    <w:p w14:paraId="414ABBDE" w14:textId="473FBA8E"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Dalam kerangka hukum internasional, pengelolaan batas wilayah negara bertumpu pada prinsip uti possidetis juris yang mengharuskan pengakuan atas batas administratif yang berlaku pada saat kemerdekaan sebagai batas negara yang sah. Prinsip ini telah dikukuhkan oleh Mahkamah Internasional dalam kasus Burkina Faso v. Mali (1986) dan menjadi landasan bagi penetapan batas darat Indonesia. Dengan demikian, batas darat Indonesia dengan Malaysia di Kalimantan mengacu pada Konvensi antara Belanda dan Inggris tahun 1891, sementara batas dengan Timor-Leste merujuk pada serangkaian perjanjian antara Belanda dan Portugal sejak tahun 1859 hingga 1904.</w:t>
      </w:r>
    </w:p>
    <w:p w14:paraId="6B1616DA" w14:textId="4CA158CD"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Rezim hukum internasional yang mengatur operasional PLBN bersifat multilapis. </w:t>
      </w:r>
      <w:r w:rsidRPr="00A15E6D">
        <w:rPr>
          <w:rFonts w:ascii="Times New Roman" w:hAnsi="Times New Roman" w:cs="Times New Roman"/>
          <w:i/>
          <w:iCs/>
          <w:sz w:val="24"/>
          <w:szCs w:val="24"/>
        </w:rPr>
        <w:t>Vienna Convention on the Law of Treaties</w:t>
      </w:r>
      <w:r w:rsidRPr="00A15E6D">
        <w:rPr>
          <w:rFonts w:ascii="Times New Roman" w:hAnsi="Times New Roman" w:cs="Times New Roman"/>
          <w:sz w:val="24"/>
          <w:szCs w:val="24"/>
        </w:rPr>
        <w:t xml:space="preserve"> 1969 menjadi kerangka induk yang menentukan validitas dan keberlakuan perjanjian perbatasan antarnegara, termasuk klausula rebus sic stantibus yang dalam konteks perjanjian perbatasan diterapkan secara sangat ketat demi menjamin </w:t>
      </w:r>
      <w:r w:rsidRPr="00A15E6D">
        <w:rPr>
          <w:rFonts w:ascii="Times New Roman" w:eastAsia="Times New Roman" w:hAnsi="Times New Roman" w:cs="Times New Roman"/>
          <w:color w:val="000000"/>
          <w:sz w:val="24"/>
          <w:szCs w:val="24"/>
        </w:rPr>
        <w:t>kepastian</w:t>
      </w:r>
      <w:r w:rsidRPr="00A15E6D">
        <w:rPr>
          <w:rFonts w:ascii="Times New Roman" w:hAnsi="Times New Roman" w:cs="Times New Roman"/>
          <w:sz w:val="24"/>
          <w:szCs w:val="24"/>
        </w:rPr>
        <w:t xml:space="preserve"> hukum.</w:t>
      </w:r>
      <w:r w:rsidRPr="00A15E6D">
        <w:rPr>
          <w:rFonts w:ascii="Times New Roman" w:hAnsi="Times New Roman" w:cs="Times New Roman"/>
          <w:sz w:val="24"/>
          <w:szCs w:val="24"/>
          <w:vertAlign w:val="superscript"/>
        </w:rPr>
        <w:t xml:space="preserve"> </w:t>
      </w:r>
      <w:r w:rsidRPr="00A15E6D">
        <w:rPr>
          <w:rFonts w:ascii="Times New Roman" w:hAnsi="Times New Roman" w:cs="Times New Roman"/>
          <w:i/>
          <w:iCs/>
          <w:sz w:val="24"/>
          <w:szCs w:val="24"/>
        </w:rPr>
        <w:t>Revised Kyoto Convention</w:t>
      </w:r>
      <w:r w:rsidRPr="00A15E6D">
        <w:rPr>
          <w:rFonts w:ascii="Times New Roman" w:hAnsi="Times New Roman" w:cs="Times New Roman"/>
          <w:sz w:val="24"/>
          <w:szCs w:val="24"/>
        </w:rPr>
        <w:t xml:space="preserve"> tentang penyederhanaan dan harmonisasi prosedur kepabeanan, yang dikelola</w:t>
      </w:r>
      <w:r w:rsidR="007A460A" w:rsidRPr="00A15E6D">
        <w:rPr>
          <w:rFonts w:ascii="Times New Roman" w:hAnsi="Times New Roman" w:cs="Times New Roman"/>
          <w:sz w:val="24"/>
          <w:szCs w:val="24"/>
          <w:lang w:val="en-US"/>
        </w:rPr>
        <w:t xml:space="preserve"> </w:t>
      </w:r>
      <w:r w:rsidRPr="00A15E6D">
        <w:rPr>
          <w:rFonts w:ascii="Times New Roman" w:hAnsi="Times New Roman" w:cs="Times New Roman"/>
          <w:sz w:val="24"/>
          <w:szCs w:val="24"/>
        </w:rPr>
        <w:t xml:space="preserve">oleh World Customs Organization (WCO), menetapkan standar internasional bagi operasional bea cukai di pos perbatasan. International Health Regulations (IHR) 2005 yang diadopsi oleh WHO mewajibkan negara-negara anggota, termasuk Indonesia, untuk membangun kapasitas inti di titik-titik masuk internasional, termasuk fasilitas karantina kesehatan yang memadai. Sementara itu, UNTOC 2000 atau Konvensi Palermo mewajibkan kerja sama internasional dalam penanggulangan kejahatan lintas batas terorganisasi, yang telah diratifikasi Indonesia melalui Undang-Undang Nomor 5 Tahun 2009. </w:t>
      </w:r>
    </w:p>
    <w:p w14:paraId="7E2670E7" w14:textId="77777777" w:rsidR="00A15E6D" w:rsidRDefault="00A15E6D">
      <w:pPr>
        <w:rPr>
          <w:rFonts w:ascii="Times New Roman" w:hAnsi="Times New Roman" w:cs="Times New Roman"/>
          <w:b/>
          <w:bCs/>
          <w:sz w:val="24"/>
          <w:szCs w:val="24"/>
        </w:rPr>
      </w:pPr>
      <w:r>
        <w:rPr>
          <w:rFonts w:ascii="Times New Roman" w:hAnsi="Times New Roman" w:cs="Times New Roman"/>
          <w:b/>
          <w:bCs/>
          <w:sz w:val="24"/>
          <w:szCs w:val="24"/>
        </w:rPr>
        <w:br w:type="page"/>
      </w:r>
    </w:p>
    <w:p w14:paraId="497795EB" w14:textId="14683E30" w:rsidR="00BA245F" w:rsidRPr="00A15E6D" w:rsidRDefault="00BA245F" w:rsidP="00A15E6D">
      <w:pPr>
        <w:spacing w:after="0" w:line="360" w:lineRule="auto"/>
        <w:jc w:val="both"/>
        <w:rPr>
          <w:rFonts w:ascii="Times New Roman" w:hAnsi="Times New Roman" w:cs="Times New Roman"/>
          <w:sz w:val="24"/>
          <w:szCs w:val="24"/>
        </w:rPr>
      </w:pPr>
      <w:r w:rsidRPr="00A15E6D">
        <w:rPr>
          <w:rFonts w:ascii="Times New Roman" w:hAnsi="Times New Roman" w:cs="Times New Roman"/>
          <w:b/>
          <w:bCs/>
          <w:sz w:val="24"/>
          <w:szCs w:val="24"/>
        </w:rPr>
        <w:t>Analisis Kesenjangan Normatif: Antara Komitmen Internasional dan Implementasi Domestik</w:t>
      </w:r>
    </w:p>
    <w:p w14:paraId="0BBF216E"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Kesenjangan normatif (</w:t>
      </w:r>
      <w:r w:rsidRPr="00A15E6D">
        <w:rPr>
          <w:rFonts w:ascii="Times New Roman" w:hAnsi="Times New Roman" w:cs="Times New Roman"/>
          <w:i/>
          <w:iCs/>
          <w:sz w:val="24"/>
          <w:szCs w:val="24"/>
        </w:rPr>
        <w:t>normative gap</w:t>
      </w:r>
      <w:r w:rsidRPr="00A15E6D">
        <w:rPr>
          <w:rFonts w:ascii="Times New Roman" w:hAnsi="Times New Roman" w:cs="Times New Roman"/>
          <w:sz w:val="24"/>
          <w:szCs w:val="24"/>
        </w:rPr>
        <w:t xml:space="preserve">) dalam pengelolaan PLBN dapat diidentifikasi pada setidaknya tiga lapisan utama. Lapisan pertama adalah kesenjangan antara kewajiban konvensi internasional dengan substansi regulasi nasional. Lapisan kedua adalah kesenjangan antara regulasi nasional yang tersedia dengan kapasitas implementasinya di lapangan. Lapisan ketiga adalah kesenjangan antara teks perjanjian bilateral dengan praktik </w:t>
      </w:r>
      <w:r w:rsidRPr="00A15E6D">
        <w:rPr>
          <w:rFonts w:ascii="Times New Roman" w:eastAsia="Times New Roman" w:hAnsi="Times New Roman" w:cs="Times New Roman"/>
          <w:color w:val="000000"/>
          <w:sz w:val="24"/>
          <w:szCs w:val="24"/>
        </w:rPr>
        <w:t>operasional</w:t>
      </w:r>
      <w:r w:rsidRPr="00A15E6D">
        <w:rPr>
          <w:rFonts w:ascii="Times New Roman" w:hAnsi="Times New Roman" w:cs="Times New Roman"/>
          <w:sz w:val="24"/>
          <w:szCs w:val="24"/>
        </w:rPr>
        <w:t xml:space="preserve"> di lapangan. Ketiga lapisan ini saling berinteraksi dan menciptakan apa yang dapat disebut sebagai defisit hukum struktural (structural legal deficit) dalam tata kelola perbatasan Indonesia. </w:t>
      </w:r>
    </w:p>
    <w:p w14:paraId="3E723042" w14:textId="09C28104"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Pada lapisan pertama, kewajiban Indonesia di bawah IHR 2005 mensyaratkan </w:t>
      </w:r>
      <w:r w:rsidRPr="00A15E6D">
        <w:rPr>
          <w:rFonts w:ascii="Times New Roman" w:eastAsia="Times New Roman" w:hAnsi="Times New Roman" w:cs="Times New Roman"/>
          <w:color w:val="000000"/>
          <w:sz w:val="24"/>
          <w:szCs w:val="24"/>
        </w:rPr>
        <w:t>tersedianya</w:t>
      </w:r>
      <w:r w:rsidRPr="00A15E6D">
        <w:rPr>
          <w:rFonts w:ascii="Times New Roman" w:hAnsi="Times New Roman" w:cs="Times New Roman"/>
          <w:sz w:val="24"/>
          <w:szCs w:val="24"/>
        </w:rPr>
        <w:t xml:space="preserve"> kapasitas inti berupa prosedur pemeriksaan kesehatan, fasilitas karantina yang layak, serta sistem komunikasi yang terintegrasi di setiap titik masuk internasional yang ditetapkan. Dalam praktiknya, meskipun 7 PLBN Terpadu Gelombang Pertama telah dilengkapi gedung karantina, sejumlah PLBN yang masih dalam kategori Jalur B dan Jalur C dengan karakteristik pos lintas batas tradisional yang tidak dilengkapi unsur CIQS lengkap secara teknis tetap menjadi titik masuk potensial bagi penyebaran penyakit lintas batas, namun tidak memenuhi standar kapasitas inti IHR 2005. Hal ini mencerminkan kesenjangan normatif yang nyata antara kewajiban internasional dengan kondisi faktual.</w:t>
      </w:r>
    </w:p>
    <w:p w14:paraId="3DB22FC4" w14:textId="06301FB8"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Pada lapisan kedua, Undang-Undang Nomor 43 Tahun 2008 tentang Wilayah Negara telah meletakkan landasan hukum yang komprehensif bagi pengelolaan wilayah perbatasan, termasuk pembentukan Badan Nasional Pengelola Perbatasan (BNPP) berdasarkan Peraturan Presiden Nomor 12 Tahun 2010 yang kemudian diperbarui dengan Peraturan Presiden Nomor 44 Tahun 2017. Namun, meskipun regulasi nasional ini tersedia, implementasinya menghadapi kendala serius berupa fragmentasi kelembagaan. Sistem CIQS yang secara konseptual dirancang sebagai satu kesatuan terpadu nyatanya masih beroperasi secara sektoral: aspek keimigrasian berada di bawah Direktorat Jenderal Imigrasi Kementerian Hukum dan HAM, aspek kepabeanan di bawah Direktorat Jenderal Bea dan Cukai Kementerian Keuangan, aspek karantina di bawah kementerian terkait, dan aspek keamanan di bawah TNI/POLRI. BNPP sebagai koordinator belum memiliki kewenangan eksekutif yang memadai untuk memastikan keterpaduan operasional ini.</w:t>
      </w:r>
    </w:p>
    <w:p w14:paraId="77DF393B" w14:textId="6B0A9814"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Pada lapisan ketiga, Border Crossing Agreement (BCA) antara Indonesia dan Malaysia yang mengatur lalu lintas orang dan barang di perbatasan Kalimantan memiliki klausul-klausul yang tidak </w:t>
      </w:r>
      <w:r w:rsidRPr="00A15E6D">
        <w:rPr>
          <w:rFonts w:ascii="Times New Roman" w:eastAsia="Times New Roman" w:hAnsi="Times New Roman" w:cs="Times New Roman"/>
          <w:color w:val="000000"/>
          <w:sz w:val="24"/>
          <w:szCs w:val="24"/>
        </w:rPr>
        <w:t>sepenuhnya</w:t>
      </w:r>
      <w:r w:rsidRPr="00A15E6D">
        <w:rPr>
          <w:rFonts w:ascii="Times New Roman" w:hAnsi="Times New Roman" w:cs="Times New Roman"/>
          <w:sz w:val="24"/>
          <w:szCs w:val="24"/>
        </w:rPr>
        <w:t xml:space="preserve"> selaras dengan ketentuan Undang-Undang Nomor 6 Tahun 2011 tentang Keimigrasian. Salah satu contoh konkret adalah pengaturan mengenai Pas Lintas Batas (PLB) yang berbeda prosedurnya dengan ketentuan dokumen perjalanan dalam regulasi keimigrasian nasional. Inkonsistensi ini menimbulkan ketidakpastian hukum bagi petugas di lapangan dan membuka celah bagi praktik-praktik informal yang rentan disalahgunakan. Ketidakselarasan serupa juga terjadi dalam hubungan Indonesia dengan Timor-Leste, di mana Memorandum of Understanding (MoU) yang ada belum sepenuhnya diperkuat dengan perjanjian bilateral yang komprehensif dan berkekuatan hukum mengikat setara perjanjian internasional. </w:t>
      </w:r>
    </w:p>
    <w:p w14:paraId="49A39421" w14:textId="60DA957F" w:rsidR="00BA245F" w:rsidRPr="00A15E6D" w:rsidRDefault="00BA245F" w:rsidP="00A15E6D">
      <w:pPr>
        <w:spacing w:after="0" w:line="360" w:lineRule="auto"/>
        <w:jc w:val="both"/>
        <w:rPr>
          <w:rFonts w:ascii="Times New Roman" w:hAnsi="Times New Roman" w:cs="Times New Roman"/>
          <w:sz w:val="24"/>
          <w:szCs w:val="24"/>
        </w:rPr>
      </w:pPr>
      <w:r w:rsidRPr="00A15E6D">
        <w:rPr>
          <w:rFonts w:ascii="Times New Roman" w:hAnsi="Times New Roman" w:cs="Times New Roman"/>
          <w:b/>
          <w:bCs/>
          <w:sz w:val="24"/>
          <w:szCs w:val="24"/>
        </w:rPr>
        <w:t>Studi Kasus: PLBN Motamasin dan Problematika Pelintas Batas Ilegal</w:t>
      </w:r>
    </w:p>
    <w:p w14:paraId="23768E08" w14:textId="1079231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Sebagai bukti konkret dari kesenjangan normatif yang dianalisis di atas, PLBN Motamasin di Kabupaten Malaka, Nusa Tenggara Timur, yang berbatasan langsung dengan wilayah Timor-Leste, menyajikan gambaran yang representatif. Meskipun PLBN Motamasin telah diresmikan oleh Presiden Republik Indonesia pada 9 Januari 2018 sebagai PLBN Terpadu yang dilengkapi dengan infrastruktur CIQS modern, praktik pelintas batas melalui jalur tidak resmi atau yang dikenal sebagai 'jalan tikus' tetap berlangsung secara masif di </w:t>
      </w:r>
      <w:r w:rsidRPr="00A15E6D">
        <w:rPr>
          <w:rFonts w:ascii="Times New Roman" w:eastAsia="Times New Roman" w:hAnsi="Times New Roman" w:cs="Times New Roman"/>
          <w:color w:val="000000"/>
          <w:sz w:val="24"/>
          <w:szCs w:val="24"/>
        </w:rPr>
        <w:t>sekitar</w:t>
      </w:r>
      <w:r w:rsidRPr="00A15E6D">
        <w:rPr>
          <w:rFonts w:ascii="Times New Roman" w:hAnsi="Times New Roman" w:cs="Times New Roman"/>
          <w:sz w:val="24"/>
          <w:szCs w:val="24"/>
        </w:rPr>
        <w:t xml:space="preserve"> kawasan perbatasan.</w:t>
      </w:r>
    </w:p>
    <w:p w14:paraId="16338CCB" w14:textId="1D49EDAA"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Fenomena ini bukan sekadar cerminan rendahnya kesadaran hukum masyarakat, melainkan merupakan akibat langsung dari kegagalan sistemik dalam implementasi norma hukum. Pertama, adanya jalur lintas batas tradisional (Jalur C) yang secara de facto telah lama digunakan masyarakat lokal untuk keperluan keluarga dan pertanian, namun belum diintegrasikan secara formal ke dalam sistem pengawasan CIQS. Jalur C ini hanya diawasi oleh Petugas Pengaman Perbatasan (PAMTAS) TNI tanpa kelengkapan sistem CIQS, sehingga secara praktis menjadi titik rentan pengawasan. Kedua, ketiadaan perjanjian bilateral yang memadai antara Indonesia dan Timor-Leste mengenai tata cara pelintas batas tradisional yang berbeda dari perjanjian lintas batas formal menciptakan kekosongan hukum yang dimanf</w:t>
      </w:r>
      <w:r w:rsidR="008A0D7A" w:rsidRPr="00A15E6D">
        <w:rPr>
          <w:rFonts w:ascii="Times New Roman" w:hAnsi="Times New Roman" w:cs="Times New Roman"/>
          <w:sz w:val="24"/>
          <w:szCs w:val="24"/>
        </w:rPr>
        <w:t>aatkan oleh berbagai pihak</w:t>
      </w:r>
    </w:p>
    <w:p w14:paraId="52AD10F3" w14:textId="382F45B6"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Dalam perspektif UNTOC 2000 yang telah diratifikasi Indonesia, pelintas batas ilegal yang difasilitasi oleh pihak ketiga dapat dikategorikan sebagai tindak pidana penyelundupan migran (smuggling of migrants). Namun, penerapan ketentuan ini memerlukan koordinasi bilateral yang kuat dengan Timor-Leste, yang juga perlu mengharmonisasikan hukum domestiknya dengan ketentuan UNTOC. Ketiadaan mekanisme bilateral yang efektif untuk pertukaran informasi intelijen dan penegakan hukum bersama di perbatasan Indonesia-Timor Leste merupakan salah satu manifestasi paling nyata dari kesenjangan normatif yang dibahas.</w:t>
      </w:r>
    </w:p>
    <w:p w14:paraId="4F6B4D19" w14:textId="77777777" w:rsidR="00A15E6D" w:rsidRDefault="00A15E6D">
      <w:pPr>
        <w:rPr>
          <w:rFonts w:ascii="Times New Roman" w:hAnsi="Times New Roman" w:cs="Times New Roman"/>
          <w:b/>
          <w:bCs/>
          <w:sz w:val="24"/>
          <w:szCs w:val="24"/>
        </w:rPr>
      </w:pPr>
      <w:r>
        <w:rPr>
          <w:rFonts w:ascii="Times New Roman" w:hAnsi="Times New Roman" w:cs="Times New Roman"/>
          <w:b/>
          <w:bCs/>
          <w:sz w:val="24"/>
          <w:szCs w:val="24"/>
        </w:rPr>
        <w:br w:type="page"/>
      </w:r>
    </w:p>
    <w:p w14:paraId="547025E0" w14:textId="38B9EAA3" w:rsidR="00BA245F" w:rsidRPr="00A15E6D" w:rsidRDefault="00BA245F" w:rsidP="00A15E6D">
      <w:pPr>
        <w:spacing w:after="0" w:line="360" w:lineRule="auto"/>
        <w:jc w:val="both"/>
        <w:rPr>
          <w:rFonts w:ascii="Times New Roman" w:hAnsi="Times New Roman" w:cs="Times New Roman"/>
          <w:sz w:val="24"/>
          <w:szCs w:val="24"/>
        </w:rPr>
      </w:pPr>
      <w:r w:rsidRPr="00A15E6D">
        <w:rPr>
          <w:rFonts w:ascii="Times New Roman" w:hAnsi="Times New Roman" w:cs="Times New Roman"/>
          <w:b/>
          <w:bCs/>
          <w:sz w:val="24"/>
          <w:szCs w:val="24"/>
        </w:rPr>
        <w:t>Sengketa Batas Indonesi Timor Leste: Tantangan Prinsip Uti Possidetis Juris</w:t>
      </w:r>
    </w:p>
    <w:p w14:paraId="6D69D5EB"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Persoalan yang belum terselesaikan mengenai batas wilayah di segmen Noel Besi Citrana dan Bidjael Sunan Oben antara Indonesia dan Timor-Leste merupakan dimensi lain dari kesenjangan normatif yang memiliki implikasi hukum langsung terhadap operasional PLBN. Kedua segmen ini merupakan warisan interpretasi yang berbeda atas perjanjian kolonial Belanda-Portugal yang </w:t>
      </w:r>
      <w:r w:rsidRPr="00A15E6D">
        <w:rPr>
          <w:rFonts w:ascii="Times New Roman" w:eastAsia="Times New Roman" w:hAnsi="Times New Roman" w:cs="Times New Roman"/>
          <w:color w:val="000000"/>
          <w:sz w:val="24"/>
          <w:szCs w:val="24"/>
        </w:rPr>
        <w:t>ditandatangani</w:t>
      </w:r>
      <w:r w:rsidRPr="00A15E6D">
        <w:rPr>
          <w:rFonts w:ascii="Times New Roman" w:hAnsi="Times New Roman" w:cs="Times New Roman"/>
          <w:sz w:val="24"/>
          <w:szCs w:val="24"/>
        </w:rPr>
        <w:t xml:space="preserve"> antara tahun 1859 hingga 1904, yang menjadi acuan prinsip uti possidetis juris pasca-kemerdekaan.</w:t>
      </w:r>
    </w:p>
    <w:p w14:paraId="10408685" w14:textId="08921E61"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Ambiguitas batas wilayah di segmen-segmen ini secara langsung mempengaruhi legitimasi operasional PLBN di kawasan tersebut, karena yurisdiksi yang belum final menciptakan ruang abu-abu hukum bagi petugas PLBN dalam menentukan garis batas pemeriksaan. Pasal 33 Piagam PBB mewajibkan penyelesaian sengketa secara damai, dan mekanisme yang paling tepat bagi kasus ini adalah negosiasi bilateral yang difasilitasi oleh prinsip-prinsip hukum internasional. Meskipun sebagian besar segmen batas telah disepakati, keberadaan segmen yang belum terselesaikan ini terus menjadi hambatan struktural bagi pengelolaan PLBN yang efektif dan kepastian hukum bagi masyarakat perbatasan.</w:t>
      </w:r>
    </w:p>
    <w:p w14:paraId="16755065" w14:textId="68A418BF"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Konsekuensi hukum dari situasi ini adalah bahwa dalam segmen yang masih dipersengketakan, konsep </w:t>
      </w:r>
      <w:r w:rsidRPr="00A15E6D">
        <w:rPr>
          <w:rFonts w:ascii="Times New Roman" w:hAnsi="Times New Roman" w:cs="Times New Roman"/>
          <w:i/>
          <w:iCs/>
          <w:sz w:val="24"/>
          <w:szCs w:val="24"/>
        </w:rPr>
        <w:t>effective control</w:t>
      </w:r>
      <w:r w:rsidRPr="00A15E6D">
        <w:rPr>
          <w:rFonts w:ascii="Times New Roman" w:hAnsi="Times New Roman" w:cs="Times New Roman"/>
          <w:sz w:val="24"/>
          <w:szCs w:val="24"/>
        </w:rPr>
        <w:t xml:space="preserve"> sebagai salah satu dasar penetapan kedaulatan dalam hukum internasional menjadi relevan untuk diperhatikan. Keberadaan dan operasional PLBN Indonesia di kawasan perbatasan merupakan salah satu bentuk </w:t>
      </w:r>
      <w:r w:rsidRPr="00A15E6D">
        <w:rPr>
          <w:rFonts w:ascii="Times New Roman" w:eastAsia="Times New Roman" w:hAnsi="Times New Roman" w:cs="Times New Roman"/>
          <w:color w:val="000000"/>
          <w:sz w:val="24"/>
          <w:szCs w:val="24"/>
        </w:rPr>
        <w:t>pelaksanaan</w:t>
      </w:r>
      <w:r w:rsidRPr="00A15E6D">
        <w:rPr>
          <w:rFonts w:ascii="Times New Roman" w:hAnsi="Times New Roman" w:cs="Times New Roman"/>
          <w:sz w:val="24"/>
          <w:szCs w:val="24"/>
        </w:rPr>
        <w:t xml:space="preserve"> effective control yang dapat mendukung posisi hukum Indonesia dalam proses negosiasi bilateral. Oleh karena itu, memperkuat kehadiran dan kapasitas PLBN secara hukum tidak hanya bermakna dari aspek pelayanan publik, tetapi juga merupakan strategi hukum dalam memperkuat klaim kedaulatan Indonesia.</w:t>
      </w:r>
    </w:p>
    <w:p w14:paraId="2D99EF63" w14:textId="4A2500E5" w:rsidR="00BA245F" w:rsidRPr="00A15E6D" w:rsidRDefault="00BA245F" w:rsidP="00A15E6D">
      <w:pPr>
        <w:spacing w:after="0" w:line="360" w:lineRule="auto"/>
        <w:jc w:val="both"/>
        <w:rPr>
          <w:rFonts w:ascii="Times New Roman" w:hAnsi="Times New Roman" w:cs="Times New Roman"/>
          <w:sz w:val="24"/>
          <w:szCs w:val="24"/>
        </w:rPr>
      </w:pPr>
      <w:r w:rsidRPr="00A15E6D">
        <w:rPr>
          <w:rFonts w:ascii="Times New Roman" w:hAnsi="Times New Roman" w:cs="Times New Roman"/>
          <w:b/>
          <w:bCs/>
          <w:sz w:val="24"/>
          <w:szCs w:val="24"/>
        </w:rPr>
        <w:t>Faktor Hukum Disharmonisasi Regulasi dan Model Solusi Harmonisasi</w:t>
      </w:r>
    </w:p>
    <w:p w14:paraId="05816164"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Berdasarkan analisis di atas, setidaknya terdapat lima faktor hukum yang secara sistemik menyebabkan disharmonisasi regulasi dalam pengelolaan PLBN. Pertama, absennya mekanisme hukum yang sistematis untuk mengintegrasikan kewajiban perjanjian internasional ke dalam regulasi teknis operasional PLBN. Indonesia telah meratifikasi berbagai konvensi internasional yang relevan, namun penerjemahan kewajiban-kewajiban tersebut ke dalam prosedur operasional standar (SOP) PLBN belum dilakukan secara terstruktur dan komprehensif. Kedua, kelemahan konstruksi kelembagaan BNPP yang bersifat koordinatif tanpa kewenangan eksekutif langsung, sehingga harmonisasi lintas sektoral dalam sistem CIQS tidak dapat dipaksakan secara hukum kepada masing-masing kementerian teknis.</w:t>
      </w:r>
    </w:p>
    <w:p w14:paraId="4F81E430"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Ketiga, ketidaklengkapan perjanjian bilateral sebagai landasan hukum operasional. Berbeda dengan perbatasan Indonesia-Malaysia yang telah memiliki Border Crossing Agreement (BCA) meskipun belum sempurna harmonisasinya, perbatasan Indonesia-Timor Leste belum memiliki kerangka hukum bilateral yang komprehensif, khususnya mengenai tata kelola pelintas batas tradisional. Keempat, keterbatasan kapasitas sumber daya manusia di PLBN yang tidak hanya terkait dengan jumlah personel, tetapi juga pemahaman mendalam terhadap instrumen hukum internasional yang relevan. Kelima, belum rampungnya proses delimitasi dan demarcasi di beberapa segmen batas darat yang menciptakan ambiguitas yurisdiksi di lapangan.</w:t>
      </w:r>
    </w:p>
    <w:p w14:paraId="6E3CE3C5"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Untuk mengatasi </w:t>
      </w:r>
      <w:r w:rsidRPr="00A15E6D">
        <w:rPr>
          <w:rFonts w:ascii="Times New Roman" w:eastAsia="Times New Roman" w:hAnsi="Times New Roman" w:cs="Times New Roman"/>
          <w:color w:val="000000"/>
          <w:sz w:val="24"/>
          <w:szCs w:val="24"/>
        </w:rPr>
        <w:t>disharmonisasi</w:t>
      </w:r>
      <w:r w:rsidRPr="00A15E6D">
        <w:rPr>
          <w:rFonts w:ascii="Times New Roman" w:hAnsi="Times New Roman" w:cs="Times New Roman"/>
          <w:sz w:val="24"/>
          <w:szCs w:val="24"/>
        </w:rPr>
        <w:t xml:space="preserve"> ini, penelitian ini mengusulkan model harmonisasi regulasi berbasis hierarki norma yang terdiri dari tiga tingkatan. Pada tingkat pertama (level internasional), Indonesia perlu mengintensifkan proses negosiasi bilateral untuk menghasilkan perjanjian-perjanjian yang lebih komprehensif dengan Malaysia dan Timor-Leste, yang secara eksplisit mengacu pada standar instrumen hukum internasional seperti Revised Kyoto Convention, IHR 2005, dan UNTOC. Pada tingkat kedua (level nasional), diperlukan perubahan regulasi yang memberikan BNPP kewenangan eksekutif yang lebih kuat dalam mengordinasikan sistem CIQS, termasuk kewenangan untuk menerbitkan regulasi teknis bersama yang mengikat seluruh kementerian terkait. Pada tingkat ketiga (level operasional), perlu dikembangkan SOP PLBN yang secara eksplisit mengintegrasikan kewajiban internasional ke dalam prosedur teknis lapangan, disertai program pelatihan yang terstandar dan berkelanjutan bagi seluruh petugas PLBN.</w:t>
      </w:r>
    </w:p>
    <w:p w14:paraId="0D68A03E" w14:textId="2B5A4794" w:rsidR="003C085F"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 xml:space="preserve">Konsep desentralisasi asimetris sebagai instrumen pelengkap juga relevan diterapkan dalam konteks ini. Pemberian kewenangan khusus kepada pemerintah daerah perbatasan untuk terlibat dalam kerja sama lintas batas dalam koridor yang ditetapkan pemerintah pusat </w:t>
      </w:r>
      <w:r w:rsidRPr="00A15E6D">
        <w:rPr>
          <w:rFonts w:ascii="Times New Roman" w:eastAsia="Times New Roman" w:hAnsi="Times New Roman" w:cs="Times New Roman"/>
          <w:color w:val="000000"/>
          <w:sz w:val="24"/>
          <w:szCs w:val="24"/>
        </w:rPr>
        <w:t>tidak</w:t>
      </w:r>
      <w:r w:rsidRPr="00A15E6D">
        <w:rPr>
          <w:rFonts w:ascii="Times New Roman" w:hAnsi="Times New Roman" w:cs="Times New Roman"/>
          <w:sz w:val="24"/>
          <w:szCs w:val="24"/>
        </w:rPr>
        <w:t xml:space="preserve"> hanya akan meningkatkan efektivitas pengelolaan PLBN, tetapi juga sejalan dengan semangat otonomi daerah dalam kerangka Negara Kesatuan Republik Indonesia. Tentu saja, pelaksanaannya harus selalu dalam koridor yang ditetapkan pemerintah pusat agar tidak berbenturan dengan kewajiban internasional Indonesia.</w:t>
      </w:r>
      <w:r w:rsidR="008A0D7A" w:rsidRPr="00A15E6D">
        <w:rPr>
          <w:rFonts w:ascii="Times New Roman" w:hAnsi="Times New Roman" w:cs="Times New Roman"/>
          <w:sz w:val="24"/>
          <w:szCs w:val="24"/>
        </w:rPr>
        <w:t xml:space="preserve">         </w:t>
      </w:r>
      <w:r w:rsidRPr="00A15E6D">
        <w:rPr>
          <w:rFonts w:ascii="Times New Roman" w:hAnsi="Times New Roman" w:cs="Times New Roman"/>
          <w:sz w:val="24"/>
          <w:szCs w:val="24"/>
        </w:rPr>
        <w:t xml:space="preserve">   </w:t>
      </w:r>
    </w:p>
    <w:p w14:paraId="646E26CD" w14:textId="77777777" w:rsidR="00A15E6D" w:rsidRPr="00A15E6D" w:rsidRDefault="00A15E6D" w:rsidP="00A15E6D">
      <w:pPr>
        <w:spacing w:after="0" w:line="360" w:lineRule="auto"/>
        <w:ind w:firstLine="630"/>
        <w:jc w:val="both"/>
        <w:rPr>
          <w:rFonts w:ascii="Times New Roman" w:hAnsi="Times New Roman" w:cs="Times New Roman"/>
          <w:sz w:val="24"/>
          <w:szCs w:val="24"/>
        </w:rPr>
      </w:pPr>
    </w:p>
    <w:p w14:paraId="01D827D2" w14:textId="77777777" w:rsidR="003C085F" w:rsidRPr="00A15E6D" w:rsidRDefault="00A444B1" w:rsidP="00A15E6D">
      <w:pPr>
        <w:numPr>
          <w:ilvl w:val="0"/>
          <w:numId w:val="2"/>
        </w:numPr>
        <w:pBdr>
          <w:top w:val="nil"/>
          <w:left w:val="nil"/>
          <w:bottom w:val="nil"/>
          <w:right w:val="nil"/>
          <w:between w:val="nil"/>
        </w:pBdr>
        <w:spacing w:after="0" w:line="360" w:lineRule="auto"/>
        <w:ind w:left="360"/>
        <w:rPr>
          <w:rFonts w:ascii="Times New Roman" w:eastAsia="Times New Roman" w:hAnsi="Times New Roman" w:cs="Times New Roman"/>
          <w:b/>
          <w:bCs/>
          <w:color w:val="000000"/>
          <w:sz w:val="24"/>
          <w:szCs w:val="24"/>
        </w:rPr>
      </w:pPr>
      <w:r w:rsidRPr="00A15E6D">
        <w:rPr>
          <w:rFonts w:ascii="Times New Roman" w:eastAsia="Times New Roman" w:hAnsi="Times New Roman" w:cs="Times New Roman"/>
          <w:b/>
          <w:bCs/>
          <w:color w:val="000000"/>
          <w:sz w:val="24"/>
          <w:szCs w:val="24"/>
        </w:rPr>
        <w:t>KESIMPULAN DAN SARAN</w:t>
      </w:r>
    </w:p>
    <w:p w14:paraId="3A40570C"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Penelitian ini telah mengidentifikasi bahwa pengelolaan PLBN di wilayah perbatasan darat Indonesia menghadapi persoalan hukum yang bersifat struktural, yaitu adanya kesenjangan normatif pada tiga lapisan sekaligus: antara kewajiban konvensi internasional dengan regulasi nasional, antara regulasi nasional dengan kapasitas implementasinya, dan antara perjanjian bilateral dengan praktik operasional di lapangan. Defisit hukum struktural ini tercermin secara konkret dalam kasus pelanggaran lintas batas di PLBN Motamasin, ketidaksetaraan implementasi sistem CIQS antara PLBN Jalur A dan jalur tradisional, serta ambiguitas yurisdiksi akibat sengketa batas yang belum terselesaikan di segmen Indonesia-Timor Leste.</w:t>
      </w:r>
    </w:p>
    <w:p w14:paraId="5158380E" w14:textId="77777777" w:rsidR="00BA245F" w:rsidRPr="00A15E6D" w:rsidRDefault="00BA245F" w:rsidP="00A15E6D">
      <w:pPr>
        <w:spacing w:after="0" w:line="360" w:lineRule="auto"/>
        <w:ind w:firstLine="630"/>
        <w:jc w:val="both"/>
        <w:rPr>
          <w:rFonts w:ascii="Times New Roman" w:hAnsi="Times New Roman" w:cs="Times New Roman"/>
          <w:sz w:val="24"/>
          <w:szCs w:val="24"/>
        </w:rPr>
      </w:pPr>
      <w:r w:rsidRPr="00A15E6D">
        <w:rPr>
          <w:rFonts w:ascii="Times New Roman" w:hAnsi="Times New Roman" w:cs="Times New Roman"/>
          <w:sz w:val="24"/>
          <w:szCs w:val="24"/>
        </w:rPr>
        <w:t>Lima faktor hukum utama yang berkontribusi pada disharmonisasi regulasi adalah: (1) absennya mekanisme translasi sistematis dari kewajiban internasional ke SOP operasional; (2) kelemahan kelembagaan BNPP yang bersifat koordinatif semata; (3) ketidaklengkapan perjanjian bilateral; (4) keterbatasan kapasitas SDM dalam memahami instrumen hukum internasional; dan (5) belum rampungnya proses delimitasi batas di beberapa segmen. Untuk mengatasinya, penelitian ini merekomendasikan model harmonisasi regulasi tiga tingkat yang mengintegrasikan pendekatan diplomatik, reformasi kelembagaan, dan pembenahan SOP operasional. Penguatan legal capacity di tingkat PLBN melalui program pelatihan berbasis instrumen internasional juga merupakan kebutuhan mendesak yang tidak dapat ditunda.</w:t>
      </w:r>
    </w:p>
    <w:p w14:paraId="26B24A8E" w14:textId="77777777" w:rsidR="003C085F" w:rsidRPr="00A15E6D" w:rsidRDefault="003C085F" w:rsidP="00A15E6D">
      <w:pPr>
        <w:spacing w:after="0" w:line="360" w:lineRule="auto"/>
        <w:rPr>
          <w:rFonts w:ascii="Times New Roman" w:eastAsia="Times New Roman" w:hAnsi="Times New Roman" w:cs="Times New Roman"/>
          <w:sz w:val="24"/>
          <w:szCs w:val="24"/>
        </w:rPr>
      </w:pPr>
    </w:p>
    <w:p w14:paraId="20E2F32B" w14:textId="77777777" w:rsidR="003C085F" w:rsidRPr="00A15E6D" w:rsidRDefault="00A444B1" w:rsidP="00A15E6D">
      <w:pPr>
        <w:spacing w:after="0" w:line="360" w:lineRule="auto"/>
        <w:rPr>
          <w:rFonts w:ascii="Times New Roman" w:eastAsia="Times New Roman" w:hAnsi="Times New Roman" w:cs="Times New Roman"/>
          <w:b/>
          <w:bCs/>
          <w:sz w:val="24"/>
          <w:szCs w:val="24"/>
        </w:rPr>
      </w:pPr>
      <w:r w:rsidRPr="00A15E6D">
        <w:rPr>
          <w:rFonts w:ascii="Times New Roman" w:eastAsia="Times New Roman" w:hAnsi="Times New Roman" w:cs="Times New Roman"/>
          <w:b/>
          <w:bCs/>
          <w:sz w:val="24"/>
          <w:szCs w:val="24"/>
        </w:rPr>
        <w:t>DAFTAR REFERENSI</w:t>
      </w:r>
    </w:p>
    <w:p w14:paraId="72A6EB74"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Badan Nasional Pengelola Perbatasan Republik Indonesia. (2026). Kajian BNPP tentang pengelolaan PLBN terpadu. BNPP RI</w:t>
      </w:r>
    </w:p>
    <w:p w14:paraId="08A3C325"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Badan Penelitian &amp; Kementerian Hukum. (2018). Optimalisasi pos lintas batas tradisional dalam pelaksanaan fungsi keimigrasian studi kasus Imigrasi Entikong (Optimization of traditional cross-border post in the implementation of immigration functions immigration study case: Entikong). Portal Kementerian Luar Negeri, 57–72.</w:t>
      </w:r>
    </w:p>
    <w:p w14:paraId="0D821B9D"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Bangun, B. H. (2017). Konsepsi dan pengelolaan wilayah perbatasan negara: Perspektif hukum internasional. Tanjung Pura, 1(1), 52–63.</w:t>
      </w:r>
    </w:p>
    <w:p w14:paraId="536A2037"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BNPP. (2024). Standar operasional prosedur perlintasan di luar jam pelayanan di Pos Lintas Batas Negara Motamasin. Scribd. SOP Pembukaan Portal di Luar Jam Pelayanan</w:t>
      </w:r>
    </w:p>
    <w:p w14:paraId="2962B114"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Bodin, J. (1576). Kedaulatan merupakan kekuasaan tertinggi yang bersifat tidak terbagi dalam suatu negara. Jurnal Hukum dan Politik. Jean Bodin Scribd</w:t>
      </w:r>
    </w:p>
    <w:p w14:paraId="4A30109A"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Ekon, M. P. Y. (2020). Penerapan prinsip uti possidetis juris dalam penetapan batas darat Indonesia dan Timor Leste. Jurnal Bina Mulia Hukum, 5(2), 196–219.</w:t>
      </w:r>
    </w:p>
    <w:p w14:paraId="30F9B099"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Faso, B., &amp; Mali. (1986). Kasus Burkina Faso v. Mali (1986). Scribd. Case Digest Burkina Faso v Mali</w:t>
      </w:r>
    </w:p>
    <w:p w14:paraId="75F8B073"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Gokok, M. V. G., Nurgiyanti, T., Amini, D. S., &amp; Subandi, Y. (2023). Peran Pos Lintas Batas Negara Motamasin dalam mengatasi imigran ilegal di wilayah perbatasan RI-RDTL. SOSMANIORA: Jurnal Ilmu Sosial dan Humaniora, 2(1), 54–59. https://doi.org/10.55123/sosmaniora.v2i1.1695</w:t>
      </w:r>
    </w:p>
    <w:p w14:paraId="609627EF"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Herin, F. F. (2025). Sengketa batas Indonesia dan Timor Leste sudah terjadi sejak 2005. Kompas.id. Kompas.id Sengketa Batas Indonesia Timor Leste</w:t>
      </w:r>
    </w:p>
    <w:p w14:paraId="7B86D4E9"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highlight w:val="yellow"/>
        </w:rPr>
      </w:pPr>
      <w:r w:rsidRPr="00A15E6D">
        <w:rPr>
          <w:rFonts w:ascii="Times New Roman" w:eastAsia="Cambria" w:hAnsi="Times New Roman" w:cs="Times New Roman"/>
          <w:sz w:val="24"/>
          <w:szCs w:val="24"/>
        </w:rPr>
        <w:t>Kementerian Hukum dan Hak Asasi Manusia Republik Indonesia. (2024). Peraturan Menteri Hukum dan Hak Asasi Manusia Republik Indonesia Nomor 16 Tahun 2024 tentang pedoman pengarusutamaan hak asasi manusia dalam pembentukan peraturan perundang-undangan. Database Peraturan JDIH BPK. 1-44</w:t>
      </w:r>
    </w:p>
    <w:p w14:paraId="7EA2EDB8"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Kementerian Imigrasi dan Pemasyarakatan Republik Indonesia. (2025). Peraturan Menteri Imigrasi dan Pemasyarakatan Republik Indonesia Nomor 2 Tahun 2025 tentang pengawasan keimigrasian dan tindakan administratif keimigrasian. Database Peraturan JDIH BPK. 1-59</w:t>
      </w:r>
    </w:p>
    <w:p w14:paraId="4B86AE72"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highlight w:val="yellow"/>
        </w:rPr>
      </w:pPr>
      <w:r w:rsidRPr="00A15E6D">
        <w:rPr>
          <w:rFonts w:ascii="Times New Roman" w:eastAsia="Cambria" w:hAnsi="Times New Roman" w:cs="Times New Roman"/>
          <w:sz w:val="24"/>
          <w:szCs w:val="24"/>
        </w:rPr>
        <w:t>Nations Unies. (2005). Convention de Vienne sur le droit des traités. Jus Connect, 1155, 29–33.</w:t>
      </w:r>
    </w:p>
    <w:p w14:paraId="08DF15F9"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PBB. (1945). Piagam Perserikatan Bangsa-Bangsa dan Statuta Mahkamah Internasional. Scribd. Piagam PBB PDF</w:t>
      </w:r>
    </w:p>
    <w:p w14:paraId="715A9AAA"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Presiden Republik Indonesia. (2000). Undang-Undang Republik Indonesia Nomor 24 Tahun 2000 Tentang Perjanjian Internasional.</w:t>
      </w:r>
    </w:p>
    <w:p w14:paraId="3BEC6837"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Presiden Republik Indonesia. (2010). Peraturan Presiden Republik Indonesia Nomor 12 Tahun 2010 tentang Badan Nasional Pengelola Perbatasan. Database Peraturan JDIH BPK.</w:t>
      </w:r>
    </w:p>
    <w:p w14:paraId="7766D494"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highlight w:val="yellow"/>
        </w:rPr>
      </w:pPr>
      <w:r w:rsidRPr="00A15E6D">
        <w:rPr>
          <w:rFonts w:ascii="Times New Roman" w:eastAsia="Cambria" w:hAnsi="Times New Roman" w:cs="Times New Roman"/>
          <w:sz w:val="24"/>
          <w:szCs w:val="24"/>
        </w:rPr>
        <w:t>Presiden Republik Indonesia. (2015). Instruksi Presiden Republik Indonesia Nomor 6 Tahun 2015 tentang percepatan pembangunan 7 (tujuh) Pos Lintas Batas Negara terpadu dan sarana prasarana penunjang di kawasan perbatasan. Database Peraturan JDIH BPK</w:t>
      </w:r>
    </w:p>
    <w:p w14:paraId="3EF6205C"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Presiden Republik Indonesia. (2019). Instruksi Presiden Republik Indonesia Nomor 1 Tahun 2019 tentang percepatan pembangunan 11 (sebelas) Pos Lintas Batas Negara terpadu dan sarana prasarana penunjang di kawasan perbatasan. Database Peraturan JDIH BPK. 1–9.</w:t>
      </w:r>
    </w:p>
    <w:p w14:paraId="03444729"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highlight w:val="yellow"/>
        </w:rPr>
      </w:pPr>
      <w:r w:rsidRPr="00A15E6D">
        <w:rPr>
          <w:rFonts w:ascii="Times New Roman" w:eastAsia="Cambria" w:hAnsi="Times New Roman" w:cs="Times New Roman"/>
          <w:sz w:val="24"/>
          <w:szCs w:val="24"/>
        </w:rPr>
        <w:t>Presiden Republik Indonesia. (2022). Peraturan Presiden Republik Indonesia Nomor 118 Tahun 2022 tentang rencana induk pengelolaan batas wilayah negara dan kawasan perbatasan tahun 2020–2024. Database Peraturan JDIH BPK.</w:t>
      </w:r>
    </w:p>
    <w:p w14:paraId="6D6AAC49"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 xml:space="preserve">Sabar, Septiani, T., &amp; Anggraeni, H. Y. (2025). HUKUM INTERNASIONAL DAN KEDAULATAN SUATU NEGARA. AKSELERASI: Jurnal Ilmiah Nasional, 7(1), 122-127. </w:t>
      </w:r>
      <w:hyperlink r:id="rId12" w:history="1">
        <w:r w:rsidRPr="00A15E6D">
          <w:rPr>
            <w:rStyle w:val="Hyperlink"/>
            <w:rFonts w:ascii="Times New Roman" w:eastAsia="Cambria" w:hAnsi="Times New Roman" w:cs="Times New Roman"/>
            <w:sz w:val="24"/>
            <w:szCs w:val="24"/>
          </w:rPr>
          <w:t>https://doi.org/10.54783/jin.v7i1.1326</w:t>
        </w:r>
      </w:hyperlink>
    </w:p>
    <w:p w14:paraId="306055CC"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Setiyaningsih, D., et al. (2020). Kedudukan dan kekuatan hukum memorandum of understanding (MoU) sebagai tahap prakontrak (Kajian dari sisi hukum perikatan). Jurnal Universitas Sebelas Maret Surakarta, 8(2), 173–179.</w:t>
      </w:r>
    </w:p>
    <w:p w14:paraId="7AC84574"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Siahaan, R. G. D. (2021). The position of the international regime in contemporary international law. Jurnal Hukum Lex Generalis, 2(1), 57–67.</w:t>
      </w:r>
    </w:p>
    <w:p w14:paraId="701D64E1"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Taqwa, M. D. (2026). Improving judicial reasoning in constitutional rights cases: The case for a structured proportionality test in the Indonesian Constitutional Court. Padjadjaran Jurnal Ilmu Hukum (Journal of Law), 13(1), Article 1. https://journal.unpad.ac.id/pjih/vol13/iss1/1</w:t>
      </w:r>
    </w:p>
    <w:p w14:paraId="32B401C0" w14:textId="77777777" w:rsidR="00A15E6D" w:rsidRPr="00A15E6D" w:rsidRDefault="00A15E6D" w:rsidP="00A15E6D">
      <w:pPr>
        <w:spacing w:after="120" w:line="240" w:lineRule="auto"/>
        <w:ind w:left="851" w:hanging="851"/>
        <w:jc w:val="both"/>
        <w:rPr>
          <w:rFonts w:ascii="Times New Roman" w:eastAsia="Cambria" w:hAnsi="Times New Roman" w:cs="Times New Roman"/>
          <w:sz w:val="24"/>
          <w:szCs w:val="24"/>
        </w:rPr>
      </w:pPr>
      <w:r w:rsidRPr="00A15E6D">
        <w:rPr>
          <w:rFonts w:ascii="Times New Roman" w:eastAsia="Cambria" w:hAnsi="Times New Roman" w:cs="Times New Roman"/>
          <w:sz w:val="24"/>
          <w:szCs w:val="24"/>
        </w:rPr>
        <w:t>World Health Organization. (2005). International health regulations (2005). (Third Edition). WHO Library Cataloguing-in-Publication Data.</w:t>
      </w:r>
    </w:p>
    <w:sectPr w:rsidR="00A15E6D" w:rsidRPr="00A15E6D" w:rsidSect="001E6473">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0" w:footer="0" w:gutter="0"/>
      <w:pgNumType w:start="28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D448A" w14:textId="77777777" w:rsidR="00CE7D0F" w:rsidRDefault="00CE7D0F">
      <w:pPr>
        <w:spacing w:after="0" w:line="240" w:lineRule="auto"/>
      </w:pPr>
      <w:r>
        <w:separator/>
      </w:r>
    </w:p>
  </w:endnote>
  <w:endnote w:type="continuationSeparator" w:id="0">
    <w:p w14:paraId="1BC0488A" w14:textId="77777777" w:rsidR="00CE7D0F" w:rsidRDefault="00CE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34C7E5-3CA5-434E-867B-B9BA54267EEE}"/>
    <w:embedBold r:id="rId2" w:fontKey="{B0AFC22A-4399-4634-B593-29239304C114}"/>
    <w:embedItalic r:id="rId3" w:fontKey="{12F6F484-34E5-44C9-9C70-77D19D52F5AB}"/>
  </w:font>
  <w:font w:name="Cambria">
    <w:panose1 w:val="02040503050406030204"/>
    <w:charset w:val="00"/>
    <w:family w:val="roman"/>
    <w:pitch w:val="variable"/>
    <w:sig w:usb0="E00006FF" w:usb1="420024FF" w:usb2="02000000" w:usb3="00000000" w:csb0="0000019F" w:csb1="00000000"/>
    <w:embedRegular r:id="rId4" w:fontKey="{99608B2F-B7C6-439E-9FB4-CF8D8C6D5F19}"/>
    <w:embedBold r:id="rId5" w:fontKey="{459DEE04-0E45-4110-BA5E-BACB7D64A7E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6592364-A850-4D85-9609-373C6216EC8D}"/>
    <w:embedBold r:id="rId7" w:fontKey="{5E6D79FC-D556-4343-97B3-C635EF546D15}"/>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8" w:fontKey="{0CA526D5-296D-4580-915D-177AA1E51B3C}"/>
    <w:embedBold r:id="rId9" w:fontKey="{C4537128-2A41-49AF-BDBE-FAAA13813823}"/>
  </w:font>
  <w:font w:name="Cambria Math">
    <w:panose1 w:val="02040503050406030204"/>
    <w:charset w:val="00"/>
    <w:family w:val="roman"/>
    <w:pitch w:val="variable"/>
    <w:sig w:usb0="E00006FF" w:usb1="420024FF" w:usb2="02000000" w:usb3="00000000" w:csb0="0000019F" w:csb1="00000000"/>
    <w:embedRegular r:id="rId10" w:fontKey="{63249681-7FA4-4927-9549-A685963CBF05}"/>
    <w:embedBold r:id="rId11" w:fontKey="{671081DC-5505-41D0-A40F-87613EE98BA9}"/>
  </w:font>
  <w:font w:name="Libre Baskerville">
    <w:charset w:val="00"/>
    <w:family w:val="auto"/>
    <w:pitch w:val="variable"/>
    <w:sig w:usb0="A00000BF" w:usb1="5000005B" w:usb2="00000000" w:usb3="00000000" w:csb0="00000093" w:csb1="00000000"/>
    <w:embedRegular r:id="rId12" w:fontKey="{4E55CD89-B399-4710-8FB2-2DF376FBB996}"/>
  </w:font>
  <w:font w:name="Calibri Light">
    <w:panose1 w:val="020F0302020204030204"/>
    <w:charset w:val="00"/>
    <w:family w:val="swiss"/>
    <w:pitch w:val="variable"/>
    <w:sig w:usb0="E4002EFF" w:usb1="C200247B" w:usb2="00000009" w:usb3="00000000" w:csb0="000001FF" w:csb1="00000000"/>
    <w:embedRegular r:id="rId13" w:fontKey="{D2EA57E3-820D-4C4E-B9C1-34232A9B0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73A1" w14:textId="77777777" w:rsidR="009F4FD4" w:rsidRPr="00867461" w:rsidRDefault="009F4FD4" w:rsidP="009F4FD4">
    <w:pPr>
      <w:pStyle w:val="Footer"/>
      <w:rPr>
        <w:rFonts w:ascii="Tahoma" w:eastAsia="Angsana New" w:hAnsi="Tahoma" w:cs="Tahoma"/>
        <w:bCs/>
        <w:color w:val="000000"/>
        <w:sz w:val="20"/>
        <w:szCs w:val="20"/>
      </w:rPr>
    </w:pPr>
    <w:r w:rsidRPr="00867461">
      <w:rPr>
        <w:rFonts w:ascii="Tahoma" w:eastAsia="Angsana New" w:hAnsi="Tahoma" w:cs="Tahoma"/>
        <w:noProof/>
        <w:sz w:val="20"/>
        <w:szCs w:val="20"/>
        <w:lang w:val="en-US"/>
      </w:rPr>
      <mc:AlternateContent>
        <mc:Choice Requires="wps">
          <w:drawing>
            <wp:anchor distT="0" distB="0" distL="114298" distR="114298" simplePos="0" relativeHeight="251662336" behindDoc="0" locked="0" layoutInCell="1" allowOverlap="1" wp14:anchorId="1CC09606" wp14:editId="234813B0">
              <wp:simplePos x="0" y="0"/>
              <wp:positionH relativeFrom="column">
                <wp:posOffset>317500</wp:posOffset>
              </wp:positionH>
              <wp:positionV relativeFrom="paragraph">
                <wp:posOffset>-95885</wp:posOffset>
              </wp:positionV>
              <wp:extent cx="0" cy="359410"/>
              <wp:effectExtent l="0" t="0" r="38100" b="215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3E9CA5EF" id="_x0000_t32" coordsize="21600,21600" o:spt="32" o:oned="t" path="m,l21600,21600e" filled="f">
              <v:path arrowok="t" fillok="f" o:connecttype="none"/>
              <o:lock v:ext="edit" shapetype="t"/>
            </v:shapetype>
            <v:shape id="Straight Arrow Connector 5" o:spid="_x0000_s1026" type="#_x0000_t32" style="position:absolute;margin-left:25pt;margin-top:-7.55pt;width:0;height:28.3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" strokeweight="1pt">
              <o:lock v:ext="edit" shapetype="f"/>
            </v:shape>
          </w:pict>
        </mc:Fallback>
      </mc:AlternateContent>
    </w:r>
    <w:r w:rsidRPr="00867461">
      <w:rPr>
        <w:rFonts w:ascii="Tahoma" w:eastAsia="Angsana New" w:hAnsi="Tahoma" w:cs="Tahoma"/>
        <w:color w:val="000000"/>
        <w:sz w:val="20"/>
        <w:szCs w:val="20"/>
      </w:rPr>
      <w:fldChar w:fldCharType="begin"/>
    </w:r>
    <w:r w:rsidRPr="00867461">
      <w:rPr>
        <w:rFonts w:ascii="Tahoma" w:eastAsia="Angsana New" w:hAnsi="Tahoma" w:cs="Tahoma"/>
        <w:color w:val="000000"/>
        <w:sz w:val="20"/>
        <w:szCs w:val="20"/>
      </w:rPr>
      <w:instrText>PAGE</w:instrText>
    </w:r>
    <w:r w:rsidRPr="00867461">
      <w:rPr>
        <w:rFonts w:ascii="Tahoma" w:eastAsia="Angsana New" w:hAnsi="Tahoma" w:cs="Tahoma"/>
        <w:color w:val="000000"/>
        <w:sz w:val="20"/>
        <w:szCs w:val="20"/>
      </w:rPr>
      <w:fldChar w:fldCharType="separate"/>
    </w:r>
    <w:r>
      <w:rPr>
        <w:rFonts w:ascii="Tahoma" w:eastAsia="Angsana New" w:hAnsi="Tahoma" w:cs="Tahoma"/>
        <w:color w:val="000000"/>
        <w:sz w:val="20"/>
        <w:szCs w:val="20"/>
      </w:rPr>
      <w:t>26</w:t>
    </w:r>
    <w:r>
      <w:rPr>
        <w:rFonts w:ascii="Tahoma" w:eastAsia="Angsana New" w:hAnsi="Tahoma" w:cs="Tahoma"/>
        <w:color w:val="000000"/>
        <w:sz w:val="20"/>
        <w:szCs w:val="20"/>
      </w:rPr>
      <w:t>5</w:t>
    </w:r>
    <w:r w:rsidRPr="00867461">
      <w:rPr>
        <w:rFonts w:ascii="Tahoma" w:eastAsia="Angsana New" w:hAnsi="Tahoma" w:cs="Tahoma"/>
        <w:color w:val="000000"/>
        <w:sz w:val="20"/>
        <w:szCs w:val="20"/>
      </w:rPr>
      <w:fldChar w:fldCharType="end"/>
    </w:r>
    <w:r w:rsidRPr="00867461">
      <w:rPr>
        <w:rFonts w:ascii="Tahoma" w:eastAsia="Angsana New" w:hAnsi="Tahoma" w:cs="Tahoma"/>
        <w:color w:val="000000"/>
        <w:sz w:val="20"/>
        <w:szCs w:val="20"/>
      </w:rPr>
      <w:t xml:space="preserve">  </w:t>
    </w:r>
    <w:r w:rsidRPr="00867461">
      <w:rPr>
        <w:rFonts w:ascii="Tahoma" w:eastAsia="Angsana New" w:hAnsi="Tahoma" w:cs="Tahoma"/>
        <w:color w:val="000000"/>
        <w:sz w:val="20"/>
        <w:szCs w:val="20"/>
        <w:lang w:val="en-US"/>
      </w:rPr>
      <w:t xml:space="preserve">  </w:t>
    </w:r>
    <w:r w:rsidRPr="00867461">
      <w:rPr>
        <w:rFonts w:ascii="Tahoma" w:eastAsia="Angsana New" w:hAnsi="Tahoma" w:cs="Tahoma"/>
        <w:color w:val="000000"/>
        <w:sz w:val="20"/>
        <w:szCs w:val="20"/>
      </w:rPr>
      <w:t xml:space="preserve">    </w:t>
    </w:r>
    <w:r w:rsidRPr="00867461">
      <w:rPr>
        <w:rFonts w:ascii="Tahoma" w:eastAsia="Angsana New" w:hAnsi="Tahoma" w:cs="Tahoma"/>
        <w:b/>
        <w:bCs/>
        <w:color w:val="000000"/>
        <w:sz w:val="20"/>
        <w:szCs w:val="20"/>
      </w:rPr>
      <w:t xml:space="preserve">BIROKRASI - </w:t>
    </w:r>
    <w:r w:rsidRPr="00867461">
      <w:rPr>
        <w:rFonts w:ascii="Tahoma" w:eastAsia="Angsana New" w:hAnsi="Tahoma" w:cs="Tahoma"/>
        <w:bCs/>
        <w:color w:val="000000"/>
        <w:sz w:val="20"/>
        <w:szCs w:val="20"/>
      </w:rPr>
      <w:t>VOLUME. 4, NOMOR. 1, MARET 2026</w:t>
    </w:r>
  </w:p>
  <w:p w14:paraId="26F7AB13" w14:textId="77777777" w:rsidR="009F4FD4" w:rsidRPr="00867461" w:rsidRDefault="009F4FD4" w:rsidP="009F4FD4">
    <w:pPr>
      <w:pStyle w:val="Footer"/>
      <w:rPr>
        <w:rFonts w:ascii="Tahoma" w:hAnsi="Tahoma" w:cs="Tahoma"/>
        <w:sz w:val="20"/>
        <w:szCs w:val="20"/>
        <w:lang w:val="en-US"/>
      </w:rPr>
    </w:pPr>
  </w:p>
  <w:p w14:paraId="066ACB9A" w14:textId="77777777" w:rsidR="009F4FD4" w:rsidRDefault="009F4FD4" w:rsidP="009F4FD4">
    <w:pPr>
      <w:pStyle w:val="Footer"/>
      <w:rPr>
        <w:rFonts w:ascii="Tahoma" w:hAnsi="Tahoma" w:cs="Tahoma"/>
        <w:sz w:val="20"/>
        <w:szCs w:val="20"/>
        <w:lang w:val="en-US"/>
      </w:rPr>
    </w:pPr>
  </w:p>
  <w:p w14:paraId="6C062D51" w14:textId="77777777" w:rsidR="009F4FD4" w:rsidRPr="00867461" w:rsidRDefault="009F4FD4" w:rsidP="009F4FD4">
    <w:pPr>
      <w:pStyle w:val="Footer"/>
      <w:rPr>
        <w:rFonts w:ascii="Tahoma" w:hAnsi="Tahoma" w:cs="Tahoma"/>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829B" w14:textId="77777777" w:rsidR="009F4FD4" w:rsidRDefault="009F4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44B8" w14:textId="6E771F5C" w:rsidR="009F4FD4" w:rsidRPr="00F32E08" w:rsidRDefault="009F4FD4" w:rsidP="009F4FD4">
    <w:pPr>
      <w:pBdr>
        <w:top w:val="single" w:sz="4" w:space="1" w:color="000000"/>
        <w:left w:val="nil"/>
        <w:bottom w:val="nil"/>
        <w:right w:val="nil"/>
        <w:between w:val="nil"/>
      </w:pBdr>
      <w:spacing w:after="0" w:line="240" w:lineRule="auto"/>
      <w:rPr>
        <w:rFonts w:asciiTheme="minorHAnsi" w:eastAsia="Arial" w:hAnsiTheme="minorHAnsi" w:cstheme="minorHAnsi"/>
        <w:i/>
        <w:color w:val="000000"/>
        <w:sz w:val="20"/>
        <w:szCs w:val="20"/>
        <w:lang w:val="sv-SE"/>
      </w:rPr>
    </w:pPr>
    <w:r w:rsidRPr="00F32E08">
      <w:rPr>
        <w:rFonts w:asciiTheme="minorHAnsi" w:eastAsia="Arial" w:hAnsiTheme="minorHAnsi" w:cstheme="minorHAnsi"/>
        <w:i/>
        <w:color w:val="000000"/>
        <w:sz w:val="20"/>
        <w:szCs w:val="20"/>
        <w:lang w:val="sv-SE"/>
      </w:rPr>
      <w:t xml:space="preserve">Naskah Masuk: </w:t>
    </w:r>
    <w:r>
      <w:rPr>
        <w:rFonts w:asciiTheme="minorHAnsi" w:eastAsia="Arial" w:hAnsiTheme="minorHAnsi" w:cstheme="minorHAnsi"/>
        <w:i/>
        <w:color w:val="000000"/>
        <w:sz w:val="20"/>
        <w:szCs w:val="20"/>
        <w:lang w:val="sv-SE"/>
      </w:rPr>
      <w:t>2</w:t>
    </w:r>
    <w:r w:rsidRPr="00F32E08">
      <w:rPr>
        <w:rFonts w:asciiTheme="minorHAnsi" w:eastAsia="Arial" w:hAnsiTheme="minorHAnsi" w:cstheme="minorHAnsi"/>
        <w:i/>
        <w:color w:val="000000"/>
        <w:sz w:val="20"/>
        <w:szCs w:val="20"/>
        <w:lang w:val="sv-SE"/>
      </w:rPr>
      <w:t xml:space="preserve">5 </w:t>
    </w:r>
    <w:r>
      <w:rPr>
        <w:rFonts w:asciiTheme="minorHAnsi" w:eastAsia="Arial" w:hAnsiTheme="minorHAnsi" w:cstheme="minorHAnsi"/>
        <w:i/>
        <w:color w:val="000000"/>
        <w:sz w:val="20"/>
        <w:szCs w:val="20"/>
        <w:lang w:val="sv-SE"/>
      </w:rPr>
      <w:t>Januari</w:t>
    </w:r>
    <w:r w:rsidRPr="00F32E08">
      <w:rPr>
        <w:rFonts w:asciiTheme="minorHAnsi" w:eastAsia="Arial" w:hAnsiTheme="minorHAnsi" w:cstheme="minorHAnsi"/>
        <w:i/>
        <w:color w:val="000000"/>
        <w:sz w:val="20"/>
        <w:szCs w:val="20"/>
        <w:lang w:val="sv-SE"/>
      </w:rPr>
      <w:t xml:space="preserve"> 2026; Revisi: 24 Februari 2026; Diterima: </w:t>
    </w:r>
    <w:r>
      <w:rPr>
        <w:rFonts w:asciiTheme="minorHAnsi" w:eastAsia="Arial" w:hAnsiTheme="minorHAnsi" w:cstheme="minorHAnsi"/>
        <w:i/>
        <w:color w:val="000000"/>
        <w:sz w:val="20"/>
        <w:szCs w:val="20"/>
        <w:lang w:val="sv-SE"/>
      </w:rPr>
      <w:t>29</w:t>
    </w:r>
    <w:r w:rsidRPr="00F32E08">
      <w:rPr>
        <w:rFonts w:asciiTheme="minorHAnsi" w:eastAsia="Arial" w:hAnsiTheme="minorHAnsi" w:cstheme="minorHAnsi"/>
        <w:i/>
        <w:color w:val="000000"/>
        <w:sz w:val="20"/>
        <w:szCs w:val="20"/>
        <w:lang w:val="sv-SE"/>
      </w:rPr>
      <w:t xml:space="preserve"> Maret 2026; Terbit: 3</w:t>
    </w:r>
    <w:r>
      <w:rPr>
        <w:rFonts w:asciiTheme="minorHAnsi" w:eastAsia="Arial" w:hAnsiTheme="minorHAnsi" w:cstheme="minorHAnsi"/>
        <w:i/>
        <w:color w:val="000000"/>
        <w:sz w:val="20"/>
        <w:szCs w:val="20"/>
        <w:lang w:val="sv-SE"/>
      </w:rPr>
      <w:t>0</w:t>
    </w:r>
    <w:r w:rsidRPr="00F32E08">
      <w:rPr>
        <w:rFonts w:asciiTheme="minorHAnsi" w:eastAsia="Arial" w:hAnsiTheme="minorHAnsi" w:cstheme="minorHAnsi"/>
        <w:i/>
        <w:color w:val="000000"/>
        <w:sz w:val="20"/>
        <w:szCs w:val="20"/>
        <w:lang w:val="sv-SE"/>
      </w:rPr>
      <w:t xml:space="preserve"> Maret 2026</w:t>
    </w:r>
  </w:p>
  <w:p w14:paraId="0F291D3D" w14:textId="77777777" w:rsidR="009F4FD4" w:rsidRPr="00F32E08" w:rsidRDefault="009F4FD4" w:rsidP="009F4FD4">
    <w:pPr>
      <w:pBdr>
        <w:top w:val="single" w:sz="4" w:space="1" w:color="000000"/>
        <w:left w:val="nil"/>
        <w:bottom w:val="nil"/>
        <w:right w:val="nil"/>
        <w:between w:val="nil"/>
      </w:pBdr>
      <w:spacing w:after="0" w:line="240" w:lineRule="auto"/>
      <w:rPr>
        <w:rFonts w:asciiTheme="minorHAnsi" w:eastAsia="Arial" w:hAnsiTheme="minorHAnsi" w:cstheme="minorHAnsi"/>
        <w:i/>
        <w:color w:val="000000"/>
        <w:sz w:val="20"/>
        <w:szCs w:val="20"/>
      </w:rPr>
    </w:pPr>
    <w:r w:rsidRPr="00F32E08">
      <w:rPr>
        <w:rFonts w:asciiTheme="minorHAnsi" w:eastAsia="Arial" w:hAnsiTheme="minorHAnsi" w:cstheme="minorHAnsi"/>
        <w:i/>
        <w:color w:val="000000"/>
        <w:sz w:val="20"/>
        <w:szCs w:val="20"/>
      </w:rPr>
      <w:t xml:space="preserve"> </w:t>
    </w:r>
  </w:p>
  <w:p w14:paraId="37537132" w14:textId="77777777" w:rsidR="009F4FD4" w:rsidRPr="00F32E08" w:rsidRDefault="009F4FD4" w:rsidP="009F4FD4">
    <w:pPr>
      <w:pBdr>
        <w:top w:val="single" w:sz="4" w:space="1" w:color="000000"/>
        <w:left w:val="nil"/>
        <w:bottom w:val="nil"/>
        <w:right w:val="nil"/>
        <w:between w:val="nil"/>
      </w:pBdr>
      <w:spacing w:after="0" w:line="240" w:lineRule="auto"/>
      <w:rPr>
        <w:rFonts w:asciiTheme="minorHAnsi" w:eastAsia="Libre Baskerville" w:hAnsiTheme="minorHAnsi" w:cstheme="minorHAnsi"/>
        <w:color w:val="000000"/>
        <w:sz w:val="20"/>
        <w:szCs w:val="20"/>
      </w:rPr>
    </w:pPr>
  </w:p>
  <w:p w14:paraId="172A624F" w14:textId="77777777" w:rsidR="009F4FD4" w:rsidRPr="00F32E08" w:rsidRDefault="009F4FD4" w:rsidP="009F4FD4">
    <w:pPr>
      <w:pBdr>
        <w:top w:val="single" w:sz="4" w:space="1" w:color="000000"/>
        <w:left w:val="nil"/>
        <w:bottom w:val="nil"/>
        <w:right w:val="nil"/>
        <w:between w:val="nil"/>
      </w:pBdr>
      <w:spacing w:after="0" w:line="240" w:lineRule="auto"/>
      <w:rPr>
        <w:rFonts w:asciiTheme="minorHAnsi" w:eastAsia="Libre Baskerville" w:hAnsiTheme="minorHAnsi" w:cstheme="minorHAnsi"/>
        <w:color w:val="000000"/>
        <w:sz w:val="20"/>
        <w:szCs w:val="20"/>
      </w:rPr>
    </w:pPr>
  </w:p>
  <w:p w14:paraId="500A2DB1" w14:textId="77777777" w:rsidR="009F4FD4" w:rsidRPr="00F32E08" w:rsidRDefault="009F4FD4" w:rsidP="009F4FD4">
    <w:pPr>
      <w:pBdr>
        <w:top w:val="single" w:sz="4" w:space="1" w:color="000000"/>
        <w:left w:val="nil"/>
        <w:bottom w:val="nil"/>
        <w:right w:val="nil"/>
        <w:between w:val="nil"/>
      </w:pBdr>
      <w:spacing w:after="0" w:line="240" w:lineRule="auto"/>
      <w:rPr>
        <w:rFonts w:asciiTheme="minorHAnsi" w:eastAsia="Libre Baskerville" w:hAnsiTheme="minorHAnsi" w:cstheme="minorHAnsi"/>
        <w:color w:val="000000"/>
        <w:sz w:val="20"/>
        <w:szCs w:val="20"/>
      </w:rPr>
    </w:pPr>
  </w:p>
  <w:p w14:paraId="3187B399" w14:textId="77777777" w:rsidR="009F4FD4" w:rsidRPr="00F32E08" w:rsidRDefault="009F4FD4" w:rsidP="009F4FD4">
    <w:pPr>
      <w:pStyle w:val="Footer"/>
      <w:rPr>
        <w:rFonts w:asciiTheme="minorHAnsi" w:hAnsiTheme="minorHAnsi"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1DFFB" w14:textId="77777777" w:rsidR="00CE7D0F" w:rsidRDefault="00CE7D0F">
      <w:pPr>
        <w:spacing w:after="0" w:line="240" w:lineRule="auto"/>
      </w:pPr>
      <w:r>
        <w:separator/>
      </w:r>
    </w:p>
  </w:footnote>
  <w:footnote w:type="continuationSeparator" w:id="0">
    <w:p w14:paraId="7DDD3868" w14:textId="77777777" w:rsidR="00CE7D0F" w:rsidRDefault="00CE7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22D2" w14:textId="77777777" w:rsidR="009F4FD4" w:rsidRDefault="009F4FD4" w:rsidP="009F4FD4">
    <w:pPr>
      <w:pStyle w:val="Header"/>
      <w:jc w:val="right"/>
      <w:rPr>
        <w:rFonts w:ascii="Arial" w:hAnsi="Arial" w:cs="Arial"/>
        <w:i/>
        <w:iCs/>
        <w:sz w:val="18"/>
        <w:szCs w:val="18"/>
      </w:rPr>
    </w:pPr>
  </w:p>
  <w:p w14:paraId="3EB8F202" w14:textId="77777777" w:rsidR="009F4FD4" w:rsidRDefault="009F4FD4" w:rsidP="009F4FD4">
    <w:pPr>
      <w:pStyle w:val="Header"/>
      <w:jc w:val="right"/>
      <w:rPr>
        <w:rFonts w:ascii="Arial" w:hAnsi="Arial" w:cs="Arial"/>
        <w:i/>
        <w:iCs/>
        <w:sz w:val="18"/>
        <w:szCs w:val="18"/>
      </w:rPr>
    </w:pPr>
  </w:p>
  <w:p w14:paraId="3AD1F7D2" w14:textId="77777777" w:rsidR="009F4FD4" w:rsidRDefault="009F4FD4" w:rsidP="009F4FD4">
    <w:pPr>
      <w:pStyle w:val="Header"/>
      <w:jc w:val="right"/>
      <w:rPr>
        <w:rFonts w:ascii="Arial" w:hAnsi="Arial" w:cs="Arial"/>
        <w:i/>
        <w:iCs/>
        <w:sz w:val="18"/>
        <w:szCs w:val="18"/>
      </w:rPr>
    </w:pPr>
  </w:p>
  <w:p w14:paraId="6E581DDF" w14:textId="58291330" w:rsidR="009F4FD4" w:rsidRPr="009F4FD4" w:rsidRDefault="009F4FD4" w:rsidP="009F4FD4">
    <w:pPr>
      <w:pStyle w:val="Header"/>
      <w:jc w:val="right"/>
      <w:rPr>
        <w:rFonts w:ascii="Arial" w:hAnsi="Arial" w:cs="Arial"/>
        <w:i/>
        <w:iCs/>
        <w:sz w:val="18"/>
        <w:szCs w:val="18"/>
      </w:rPr>
    </w:pPr>
    <w:r w:rsidRPr="009F4FD4">
      <w:rPr>
        <w:rFonts w:ascii="Arial" w:hAnsi="Arial" w:cs="Arial"/>
        <w:i/>
        <w:iCs/>
        <w:sz w:val="18"/>
        <w:szCs w:val="18"/>
      </w:rPr>
      <w:t>Pengelolaan Pos Lintas Batas Negara (PLBN) di Wilayah Perbatasan Darat Indonesia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B642" w14:textId="77777777" w:rsidR="009F4FD4" w:rsidRDefault="009F4FD4" w:rsidP="009F4FD4">
    <w:pPr>
      <w:pStyle w:val="Header"/>
      <w:jc w:val="right"/>
      <w:rPr>
        <w:rFonts w:ascii="Cambria" w:eastAsia="Angsana New" w:hAnsi="Cambria" w:cs="Cambria Math"/>
        <w:noProof/>
        <w:kern w:val="2"/>
        <w:lang w:val="en-ID"/>
      </w:rPr>
    </w:pPr>
  </w:p>
  <w:p w14:paraId="6BA8B8CE" w14:textId="77777777" w:rsidR="009F4FD4" w:rsidRDefault="009F4FD4" w:rsidP="009F4FD4">
    <w:pPr>
      <w:pStyle w:val="Header"/>
      <w:jc w:val="right"/>
      <w:rPr>
        <w:rFonts w:ascii="Cambria" w:eastAsia="Angsana New" w:hAnsi="Cambria" w:cs="Cambria Math"/>
        <w:noProof/>
        <w:kern w:val="2"/>
        <w:lang w:val="en-ID"/>
      </w:rPr>
    </w:pPr>
  </w:p>
  <w:p w14:paraId="5E36DD1C" w14:textId="42C69638" w:rsidR="009F4FD4" w:rsidRDefault="009F4FD4" w:rsidP="009F4FD4">
    <w:pPr>
      <w:pStyle w:val="Header"/>
      <w:jc w:val="right"/>
    </w:pPr>
    <w:r w:rsidRPr="001E6473">
      <w:rPr>
        <w:rFonts w:ascii="Cambria" w:eastAsia="Angsana New" w:hAnsi="Cambria" w:cs="Cambria Math"/>
        <w:noProof/>
        <w:kern w:val="2"/>
        <w:lang w:val="en-ID"/>
      </w:rPr>
      <w:t>e-ISSN: 2987-8632; p-ISSN: 2987-8624; Hal.</w:t>
    </w:r>
    <w:r w:rsidRPr="001E6473">
      <w:rPr>
        <w:rFonts w:ascii="Cambria" w:eastAsia="Angsana New" w:hAnsi="Cambria" w:cs="Cambria Math"/>
        <w:noProof/>
        <w:kern w:val="2"/>
        <w:lang w:val="en-US"/>
      </w:rPr>
      <w:t xml:space="preserve"> 2</w:t>
    </w:r>
    <w:r>
      <w:rPr>
        <w:rFonts w:ascii="Cambria" w:eastAsia="Angsana New" w:hAnsi="Cambria" w:cs="Cambria Math"/>
        <w:noProof/>
        <w:kern w:val="2"/>
        <w:lang w:val="en-US"/>
      </w:rPr>
      <w:t>81</w:t>
    </w:r>
    <w:r w:rsidRPr="001E6473">
      <w:rPr>
        <w:rFonts w:ascii="Cambria" w:eastAsia="Angsana New" w:hAnsi="Cambria" w:cs="Cambria Math"/>
        <w:noProof/>
        <w:kern w:val="2"/>
        <w:lang w:val="en-US"/>
      </w:rPr>
      <w:t>-2</w:t>
    </w:r>
    <w:r>
      <w:rPr>
        <w:rFonts w:ascii="Cambria" w:eastAsia="Angsana New" w:hAnsi="Cambria" w:cs="Cambria Math"/>
        <w:noProof/>
        <w:kern w:val="2"/>
        <w:lang w:val="en-US"/>
      </w:rPr>
      <w:t>96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B0CE" w14:textId="77777777" w:rsidR="001E6473" w:rsidRPr="001E6473" w:rsidRDefault="001E6473" w:rsidP="001E6473">
    <w:pPr>
      <w:tabs>
        <w:tab w:val="center" w:pos="4680"/>
      </w:tabs>
      <w:spacing w:after="0" w:line="240" w:lineRule="auto"/>
      <w:ind w:right="91"/>
      <w:jc w:val="right"/>
      <w:rPr>
        <w:rFonts w:ascii="Cambria" w:eastAsia="Angsana New" w:hAnsi="Cambria" w:cs="Cambria Math"/>
        <w:b/>
        <w:bCs/>
        <w:kern w:val="2"/>
        <w:shd w:val="clear" w:color="auto" w:fill="FFFFFF"/>
        <w:lang w:val="en-ID"/>
      </w:rPr>
    </w:pPr>
  </w:p>
  <w:p w14:paraId="4607A574" w14:textId="77777777" w:rsidR="001E6473" w:rsidRPr="001E6473" w:rsidRDefault="001E6473" w:rsidP="001E6473">
    <w:pPr>
      <w:tabs>
        <w:tab w:val="center" w:pos="4680"/>
      </w:tabs>
      <w:spacing w:after="0" w:line="240" w:lineRule="auto"/>
      <w:ind w:right="91"/>
      <w:jc w:val="right"/>
      <w:rPr>
        <w:rFonts w:ascii="Cambria" w:eastAsia="Angsana New" w:hAnsi="Cambria" w:cs="Cambria Math"/>
        <w:b/>
        <w:bCs/>
        <w:kern w:val="2"/>
        <w:lang w:val="en-ID"/>
      </w:rPr>
    </w:pPr>
    <w:proofErr w:type="spellStart"/>
    <w:r w:rsidRPr="001E6473">
      <w:rPr>
        <w:rFonts w:ascii="Cambria" w:eastAsia="Angsana New" w:hAnsi="Cambria" w:cs="Cambria Math"/>
        <w:b/>
        <w:bCs/>
        <w:kern w:val="2"/>
        <w:shd w:val="clear" w:color="auto" w:fill="FFFFFF"/>
        <w:lang w:val="en-ID"/>
      </w:rPr>
      <w:t>Birokrasi</w:t>
    </w:r>
    <w:proofErr w:type="spellEnd"/>
    <w:r w:rsidRPr="001E6473">
      <w:rPr>
        <w:rFonts w:ascii="Cambria" w:eastAsia="Angsana New" w:hAnsi="Cambria" w:cs="Cambria Math"/>
        <w:b/>
        <w:bCs/>
        <w:kern w:val="2"/>
        <w:shd w:val="clear" w:color="auto" w:fill="FFFFFF"/>
        <w:lang w:val="en-ID"/>
      </w:rPr>
      <w:t xml:space="preserve">: </w:t>
    </w:r>
    <w:proofErr w:type="spellStart"/>
    <w:r w:rsidRPr="001E6473">
      <w:rPr>
        <w:rFonts w:ascii="Cambria" w:eastAsia="Angsana New" w:hAnsi="Cambria" w:cs="Cambria Math"/>
        <w:b/>
        <w:bCs/>
        <w:kern w:val="2"/>
        <w:shd w:val="clear" w:color="auto" w:fill="FFFFFF"/>
        <w:lang w:val="en-ID"/>
      </w:rPr>
      <w:t>Jurnal</w:t>
    </w:r>
    <w:proofErr w:type="spellEnd"/>
    <w:r w:rsidRPr="001E6473">
      <w:rPr>
        <w:rFonts w:ascii="Cambria" w:eastAsia="Angsana New" w:hAnsi="Cambria" w:cs="Cambria Math"/>
        <w:b/>
        <w:bCs/>
        <w:kern w:val="2"/>
        <w:shd w:val="clear" w:color="auto" w:fill="FFFFFF"/>
        <w:lang w:val="en-ID"/>
      </w:rPr>
      <w:t xml:space="preserve"> </w:t>
    </w:r>
    <w:proofErr w:type="spellStart"/>
    <w:r w:rsidRPr="001E6473">
      <w:rPr>
        <w:rFonts w:ascii="Cambria" w:eastAsia="Angsana New" w:hAnsi="Cambria" w:cs="Cambria Math"/>
        <w:b/>
        <w:bCs/>
        <w:kern w:val="2"/>
        <w:shd w:val="clear" w:color="auto" w:fill="FFFFFF"/>
        <w:lang w:val="en-ID"/>
      </w:rPr>
      <w:t>Ilmu</w:t>
    </w:r>
    <w:proofErr w:type="spellEnd"/>
    <w:r w:rsidRPr="001E6473">
      <w:rPr>
        <w:rFonts w:ascii="Cambria" w:eastAsia="Angsana New" w:hAnsi="Cambria" w:cs="Cambria Math"/>
        <w:b/>
        <w:bCs/>
        <w:kern w:val="2"/>
        <w:shd w:val="clear" w:color="auto" w:fill="FFFFFF"/>
        <w:lang w:val="en-ID"/>
      </w:rPr>
      <w:t xml:space="preserve"> Hukum dan Tata Negara</w:t>
    </w:r>
  </w:p>
  <w:p w14:paraId="2E632C15" w14:textId="77777777" w:rsidR="001E6473" w:rsidRPr="001E6473" w:rsidRDefault="001E6473" w:rsidP="001E6473">
    <w:pPr>
      <w:tabs>
        <w:tab w:val="left" w:pos="3615"/>
        <w:tab w:val="center" w:pos="4680"/>
        <w:tab w:val="left" w:pos="5274"/>
        <w:tab w:val="right" w:pos="8939"/>
      </w:tabs>
      <w:spacing w:after="0" w:line="240" w:lineRule="auto"/>
      <w:ind w:right="91"/>
      <w:jc w:val="right"/>
      <w:rPr>
        <w:rFonts w:ascii="Cambria" w:eastAsia="Angsana New" w:hAnsi="Cambria" w:cs="Cambria Math"/>
        <w:b/>
        <w:kern w:val="2"/>
        <w:lang w:val="en-ID"/>
      </w:rPr>
    </w:pPr>
    <w:r w:rsidRPr="001E6473">
      <w:rPr>
        <w:rFonts w:ascii="Cambria" w:eastAsia="Angsana New" w:hAnsi="Cambria" w:cs="Cambria Math"/>
        <w:b/>
        <w:kern w:val="2"/>
        <w:lang w:val="en-ID"/>
      </w:rPr>
      <w:t xml:space="preserve">Volume. </w:t>
    </w:r>
    <w:r w:rsidRPr="001E6473">
      <w:rPr>
        <w:rFonts w:ascii="Cambria" w:eastAsia="Angsana New" w:hAnsi="Cambria" w:cs="Cambria Math"/>
        <w:b/>
        <w:kern w:val="2"/>
        <w:lang w:val="en-US"/>
      </w:rPr>
      <w:t>4</w:t>
    </w:r>
    <w:r w:rsidRPr="001E6473">
      <w:rPr>
        <w:rFonts w:ascii="Cambria" w:eastAsia="Angsana New" w:hAnsi="Cambria" w:cs="Cambria Math"/>
        <w:b/>
        <w:kern w:val="2"/>
        <w:lang w:val="en-ID"/>
      </w:rPr>
      <w:t>, No</w:t>
    </w:r>
    <w:r w:rsidRPr="001E6473">
      <w:rPr>
        <w:rFonts w:ascii="Cambria" w:eastAsia="Angsana New" w:hAnsi="Cambria" w:cs="Cambria Math"/>
        <w:b/>
        <w:kern w:val="2"/>
        <w:lang w:val="en-US"/>
      </w:rPr>
      <w:t>mor</w:t>
    </w:r>
    <w:r w:rsidRPr="001E6473">
      <w:rPr>
        <w:rFonts w:ascii="Cambria" w:eastAsia="Angsana New" w:hAnsi="Cambria" w:cs="Cambria Math"/>
        <w:b/>
        <w:kern w:val="2"/>
        <w:lang w:val="en-ID"/>
      </w:rPr>
      <w:t xml:space="preserve">. </w:t>
    </w:r>
    <w:r w:rsidRPr="001E6473">
      <w:rPr>
        <w:rFonts w:ascii="Cambria" w:eastAsia="Angsana New" w:hAnsi="Cambria" w:cs="Cambria Math"/>
        <w:b/>
        <w:kern w:val="2"/>
        <w:lang w:val="en-US"/>
      </w:rPr>
      <w:t>1</w:t>
    </w:r>
    <w:r w:rsidRPr="001E6473">
      <w:rPr>
        <w:rFonts w:ascii="Cambria" w:eastAsia="Angsana New" w:hAnsi="Cambria" w:cs="Cambria Math"/>
        <w:b/>
        <w:kern w:val="2"/>
        <w:lang w:val="en-ID"/>
      </w:rPr>
      <w:t xml:space="preserve">, </w:t>
    </w:r>
    <w:r w:rsidRPr="001E6473">
      <w:rPr>
        <w:rFonts w:ascii="Cambria" w:eastAsia="Angsana New" w:hAnsi="Cambria" w:cs="Cambria Math"/>
        <w:b/>
        <w:kern w:val="2"/>
        <w:lang w:val="en-US"/>
      </w:rPr>
      <w:t>Maret</w:t>
    </w:r>
    <w:r w:rsidRPr="001E6473">
      <w:rPr>
        <w:rFonts w:ascii="Cambria" w:eastAsia="Angsana New" w:hAnsi="Cambria" w:cs="Cambria Math"/>
        <w:b/>
        <w:kern w:val="2"/>
        <w:lang w:val="en-ID"/>
      </w:rPr>
      <w:t xml:space="preserve"> 2026</w:t>
    </w:r>
  </w:p>
  <w:p w14:paraId="2D9EEC69" w14:textId="5FFD50A5" w:rsidR="001E6473" w:rsidRPr="001E6473" w:rsidRDefault="001E6473" w:rsidP="001E6473">
    <w:pPr>
      <w:tabs>
        <w:tab w:val="center" w:pos="4680"/>
      </w:tabs>
      <w:spacing w:after="0" w:line="240" w:lineRule="auto"/>
      <w:ind w:right="91"/>
      <w:jc w:val="right"/>
      <w:rPr>
        <w:rFonts w:ascii="Cambria" w:eastAsia="Angsana New" w:hAnsi="Cambria" w:cs="Cambria Math"/>
        <w:noProof/>
        <w:kern w:val="2"/>
        <w:lang w:val="en-US"/>
      </w:rPr>
    </w:pPr>
    <w:bookmarkStart w:id="0" w:name="_Hlk178170497"/>
    <w:r w:rsidRPr="001E6473">
      <w:rPr>
        <w:rFonts w:ascii="Cambria" w:eastAsia="Angsana New" w:hAnsi="Cambria" w:cs="Cambria Math"/>
        <w:noProof/>
        <w:kern w:val="2"/>
        <w:lang w:val="en-US"/>
      </w:rPr>
      <w:drawing>
        <wp:anchor distT="0" distB="0" distL="114300" distR="114300" simplePos="0" relativeHeight="251659264" behindDoc="0" locked="0" layoutInCell="1" allowOverlap="1" wp14:anchorId="657C5AE7" wp14:editId="0D659719">
          <wp:simplePos x="0" y="0"/>
          <wp:positionH relativeFrom="margin">
            <wp:posOffset>2540</wp:posOffset>
          </wp:positionH>
          <wp:positionV relativeFrom="margin">
            <wp:posOffset>-513715</wp:posOffset>
          </wp:positionV>
          <wp:extent cx="719455" cy="28765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473">
      <w:rPr>
        <w:rFonts w:ascii="Cambria" w:eastAsia="Angsana New" w:hAnsi="Cambria" w:cs="Cambria Math"/>
        <w:noProof/>
        <w:kern w:val="2"/>
        <w:lang w:val="en-ID"/>
      </w:rPr>
      <w:t>e-ISSN: 2987-8632; p-ISSN: 2987-8624; Hal.</w:t>
    </w:r>
    <w:bookmarkEnd w:id="0"/>
    <w:r w:rsidRPr="001E6473">
      <w:rPr>
        <w:rFonts w:ascii="Cambria" w:eastAsia="Angsana New" w:hAnsi="Cambria" w:cs="Cambria Math"/>
        <w:noProof/>
        <w:kern w:val="2"/>
        <w:lang w:val="en-US"/>
      </w:rPr>
      <w:t xml:space="preserve"> 2</w:t>
    </w:r>
    <w:r w:rsidR="009F4FD4">
      <w:rPr>
        <w:rFonts w:ascii="Cambria" w:eastAsia="Angsana New" w:hAnsi="Cambria" w:cs="Cambria Math"/>
        <w:noProof/>
        <w:kern w:val="2"/>
        <w:lang w:val="en-US"/>
      </w:rPr>
      <w:t>81</w:t>
    </w:r>
    <w:r w:rsidRPr="001E6473">
      <w:rPr>
        <w:rFonts w:ascii="Cambria" w:eastAsia="Angsana New" w:hAnsi="Cambria" w:cs="Cambria Math"/>
        <w:noProof/>
        <w:kern w:val="2"/>
        <w:lang w:val="en-US"/>
      </w:rPr>
      <w:t>-2</w:t>
    </w:r>
    <w:r w:rsidR="009F4FD4">
      <w:rPr>
        <w:rFonts w:ascii="Cambria" w:eastAsia="Angsana New" w:hAnsi="Cambria" w:cs="Cambria Math"/>
        <w:noProof/>
        <w:kern w:val="2"/>
        <w:lang w:val="en-US"/>
      </w:rPr>
      <w:t>96</w:t>
    </w:r>
  </w:p>
  <w:p w14:paraId="44E03643" w14:textId="52ACC973" w:rsidR="001E6473" w:rsidRPr="009F4FD4" w:rsidRDefault="001E6473" w:rsidP="001E6473">
    <w:pPr>
      <w:tabs>
        <w:tab w:val="center" w:pos="4680"/>
      </w:tabs>
      <w:spacing w:after="0" w:line="240" w:lineRule="auto"/>
      <w:ind w:right="91"/>
      <w:jc w:val="right"/>
      <w:rPr>
        <w:rStyle w:val="Hyperlink"/>
        <w:rFonts w:ascii="Cambria" w:eastAsia="Angsana New" w:hAnsi="Cambria" w:cs="Cambria Math"/>
        <w:bCs/>
        <w:kern w:val="2"/>
        <w:lang w:val="en-ID"/>
      </w:rPr>
    </w:pPr>
    <w:r w:rsidRPr="001E6473">
      <w:rPr>
        <w:rFonts w:ascii="Cambria" w:eastAsia="Angsana New" w:hAnsi="Cambria" w:cs="Cambria Math"/>
        <w:noProof/>
        <w:kern w:val="2"/>
        <w:lang w:val="en-US"/>
      </w:rPr>
      <w:drawing>
        <wp:anchor distT="0" distB="0" distL="114300" distR="114300" simplePos="0" relativeHeight="251660288" behindDoc="0" locked="0" layoutInCell="1" allowOverlap="1" wp14:anchorId="3BBAEC30" wp14:editId="7D23AFA0">
          <wp:simplePos x="0" y="0"/>
          <wp:positionH relativeFrom="margin">
            <wp:posOffset>766445</wp:posOffset>
          </wp:positionH>
          <wp:positionV relativeFrom="margin">
            <wp:posOffset>-501650</wp:posOffset>
          </wp:positionV>
          <wp:extent cx="817245" cy="28765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24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473">
      <w:rPr>
        <w:rFonts w:ascii="Cambria" w:eastAsia="Angsana New" w:hAnsi="Cambria" w:cs="Cambria Math"/>
        <w:bCs/>
        <w:kern w:val="2"/>
        <w:lang w:val="en-ID"/>
      </w:rPr>
      <w:t>DOI:</w:t>
    </w:r>
    <w:r w:rsidRPr="001E6473">
      <w:rPr>
        <w:rFonts w:ascii="Cambria" w:eastAsia="Angsana New" w:hAnsi="Cambria" w:cs="Cambria Math"/>
        <w:bCs/>
        <w:kern w:val="2"/>
        <w:lang w:val="en-US"/>
      </w:rPr>
      <w:t xml:space="preserve"> </w:t>
    </w:r>
    <w:r w:rsidR="009F4FD4">
      <w:rPr>
        <w:rFonts w:ascii="Cambria" w:eastAsia="Angsana New" w:hAnsi="Cambria" w:cs="Cambria Math"/>
        <w:kern w:val="2"/>
        <w:lang w:val="en-US"/>
      </w:rPr>
      <w:fldChar w:fldCharType="begin"/>
    </w:r>
    <w:r w:rsidR="009F4FD4">
      <w:rPr>
        <w:rFonts w:ascii="Cambria" w:eastAsia="Angsana New" w:hAnsi="Cambria" w:cs="Cambria Math"/>
        <w:kern w:val="2"/>
        <w:lang w:val="en-US"/>
      </w:rPr>
      <w:instrText>HYPERLINK "https://doi.org/10.55606/birokrasi.v4i1.2552"</w:instrText>
    </w:r>
    <w:r w:rsidR="009F4FD4">
      <w:rPr>
        <w:rFonts w:ascii="Cambria" w:eastAsia="Angsana New" w:hAnsi="Cambria" w:cs="Cambria Math"/>
        <w:kern w:val="2"/>
        <w:lang w:val="en-US"/>
      </w:rPr>
    </w:r>
    <w:r w:rsidR="009F4FD4">
      <w:rPr>
        <w:rFonts w:ascii="Cambria" w:eastAsia="Angsana New" w:hAnsi="Cambria" w:cs="Cambria Math"/>
        <w:kern w:val="2"/>
        <w:lang w:val="en-US"/>
      </w:rPr>
      <w:fldChar w:fldCharType="separate"/>
    </w:r>
    <w:r w:rsidR="009F4FD4" w:rsidRPr="009F4FD4">
      <w:rPr>
        <w:rStyle w:val="Hyperlink"/>
        <w:rFonts w:ascii="Cambria" w:eastAsia="Angsana New" w:hAnsi="Cambria" w:cs="Cambria Math"/>
        <w:kern w:val="2"/>
        <w:lang w:val="en-US"/>
      </w:rPr>
      <w:t>https://doi.org/10.55606/birokrasi.v4i1.25</w:t>
    </w:r>
    <w:r w:rsidR="009F4FD4" w:rsidRPr="009F4FD4">
      <w:rPr>
        <w:rStyle w:val="Hyperlink"/>
        <w:rFonts w:ascii="Cambria" w:eastAsia="Angsana New" w:hAnsi="Cambria" w:cs="Cambria Math"/>
        <w:kern w:val="2"/>
        <w:lang w:val="en-US"/>
      </w:rPr>
      <w:t>52</w:t>
    </w:r>
  </w:p>
  <w:p w14:paraId="688E7211" w14:textId="60B94EF2" w:rsidR="001E6473" w:rsidRPr="001E6473" w:rsidRDefault="009F4FD4" w:rsidP="001E6473">
    <w:pPr>
      <w:pBdr>
        <w:bottom w:val="single" w:sz="4" w:space="1" w:color="auto"/>
      </w:pBdr>
      <w:tabs>
        <w:tab w:val="center" w:pos="4680"/>
      </w:tabs>
      <w:spacing w:after="0" w:line="240" w:lineRule="auto"/>
      <w:ind w:right="91"/>
      <w:jc w:val="right"/>
      <w:rPr>
        <w:rFonts w:ascii="Cambria" w:eastAsia="Angsana New" w:hAnsi="Cambria"/>
        <w:bCs/>
        <w:kern w:val="2"/>
        <w:sz w:val="21"/>
        <w:szCs w:val="21"/>
        <w:lang w:val="en-ID"/>
      </w:rPr>
    </w:pPr>
    <w:r>
      <w:rPr>
        <w:rFonts w:ascii="Cambria" w:eastAsia="Angsana New" w:hAnsi="Cambria" w:cs="Cambria Math"/>
        <w:kern w:val="2"/>
        <w:lang w:val="en-US"/>
      </w:rPr>
      <w:fldChar w:fldCharType="end"/>
    </w:r>
    <w:proofErr w:type="spellStart"/>
    <w:r w:rsidR="001E6473" w:rsidRPr="001E6473">
      <w:rPr>
        <w:rFonts w:ascii="Cambria" w:eastAsia="Angsana New" w:hAnsi="Cambria"/>
        <w:bCs/>
        <w:kern w:val="2"/>
        <w:sz w:val="21"/>
        <w:szCs w:val="21"/>
        <w:lang w:val="en-US"/>
      </w:rPr>
      <w:t>Tersedia</w:t>
    </w:r>
    <w:proofErr w:type="spellEnd"/>
    <w:r w:rsidR="001E6473" w:rsidRPr="001E6473">
      <w:rPr>
        <w:rFonts w:ascii="Cambria" w:eastAsia="Angsana New" w:hAnsi="Cambria"/>
        <w:bCs/>
        <w:kern w:val="2"/>
        <w:sz w:val="21"/>
        <w:szCs w:val="21"/>
        <w:lang w:val="en-ID"/>
      </w:rPr>
      <w:t xml:space="preserve">: </w:t>
    </w:r>
    <w:hyperlink r:id="rId3" w:history="1">
      <w:r w:rsidR="001E6473" w:rsidRPr="001E6473">
        <w:rPr>
          <w:rStyle w:val="Hyperlink"/>
          <w:rFonts w:ascii="Cambria" w:eastAsia="Angsana New" w:hAnsi="Cambria"/>
          <w:bCs/>
          <w:kern w:val="2"/>
          <w:sz w:val="21"/>
          <w:szCs w:val="21"/>
          <w:lang w:val="en-ID"/>
        </w:rPr>
        <w:t>https://journal-stiayappimakassar.ac.id/index.php/Birokrasi</w:t>
      </w:r>
    </w:hyperlink>
  </w:p>
  <w:p w14:paraId="1027766D" w14:textId="7C7158D6" w:rsidR="003C085F" w:rsidRPr="001E6473" w:rsidRDefault="003C085F" w:rsidP="001E6473">
    <w:pPr>
      <w:pStyle w:val="Header"/>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713FC"/>
    <w:multiLevelType w:val="hybridMultilevel"/>
    <w:tmpl w:val="AE3A98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FD07EB2"/>
    <w:multiLevelType w:val="multilevel"/>
    <w:tmpl w:val="AC26A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760CDD"/>
    <w:multiLevelType w:val="multilevel"/>
    <w:tmpl w:val="20AE2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83039362">
    <w:abstractNumId w:val="2"/>
  </w:num>
  <w:num w:numId="2" w16cid:durableId="1986347921">
    <w:abstractNumId w:val="1"/>
  </w:num>
  <w:num w:numId="3" w16cid:durableId="352730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85F"/>
    <w:rsid w:val="00043BE8"/>
    <w:rsid w:val="000457B5"/>
    <w:rsid w:val="00131457"/>
    <w:rsid w:val="00173279"/>
    <w:rsid w:val="00191D1C"/>
    <w:rsid w:val="001E6473"/>
    <w:rsid w:val="003C085F"/>
    <w:rsid w:val="004436DD"/>
    <w:rsid w:val="005E286E"/>
    <w:rsid w:val="00656B43"/>
    <w:rsid w:val="006E616E"/>
    <w:rsid w:val="006F228C"/>
    <w:rsid w:val="007017E2"/>
    <w:rsid w:val="00737D16"/>
    <w:rsid w:val="007A460A"/>
    <w:rsid w:val="008A0D7A"/>
    <w:rsid w:val="00902771"/>
    <w:rsid w:val="00961ED9"/>
    <w:rsid w:val="00993F17"/>
    <w:rsid w:val="009F4FD4"/>
    <w:rsid w:val="00A10614"/>
    <w:rsid w:val="00A15E6D"/>
    <w:rsid w:val="00A444B1"/>
    <w:rsid w:val="00A67C46"/>
    <w:rsid w:val="00AA3124"/>
    <w:rsid w:val="00AB61FC"/>
    <w:rsid w:val="00AC0C3D"/>
    <w:rsid w:val="00B22A77"/>
    <w:rsid w:val="00BA245F"/>
    <w:rsid w:val="00BD0450"/>
    <w:rsid w:val="00CC0C70"/>
    <w:rsid w:val="00CE7D0F"/>
    <w:rsid w:val="00DF0624"/>
    <w:rsid w:val="00E660DC"/>
    <w:rsid w:val="00EA7B44"/>
    <w:rsid w:val="00FD7710"/>
    <w:rsid w:val="00FE2D88"/>
    <w:rsid w:val="00FF4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B87AA"/>
  <w15:docId w15:val="{9AB77870-7008-4B61-BDD3-B5C63760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qFormat/>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table" w:customStyle="1" w:styleId="a0">
    <w:basedOn w:val="TableNormal"/>
    <w:tblPr>
      <w:tblStyleRowBandSize w:val="1"/>
      <w:tblStyleColBandSize w:val="1"/>
    </w:tblPr>
  </w:style>
  <w:style w:type="character" w:customStyle="1" w:styleId="UnresolvedMention3">
    <w:name w:val="Unresolved Mention3"/>
    <w:basedOn w:val="DefaultParagraphFont"/>
    <w:uiPriority w:val="99"/>
    <w:semiHidden/>
    <w:unhideWhenUsed/>
    <w:rsid w:val="00BA245F"/>
    <w:rPr>
      <w:color w:val="605E5C"/>
      <w:shd w:val="clear" w:color="auto" w:fill="E1DFDD"/>
    </w:rPr>
  </w:style>
  <w:style w:type="character" w:styleId="FootnoteReference">
    <w:name w:val="footnote reference"/>
    <w:uiPriority w:val="99"/>
    <w:semiHidden/>
    <w:unhideWhenUsed/>
    <w:rsid w:val="00BA245F"/>
    <w:rPr>
      <w:vertAlign w:val="superscript"/>
    </w:rPr>
  </w:style>
  <w:style w:type="paragraph" w:styleId="FootnoteText">
    <w:name w:val="footnote text"/>
    <w:link w:val="FootnoteTextChar"/>
    <w:uiPriority w:val="99"/>
    <w:semiHidden/>
    <w:unhideWhenUsed/>
    <w:rsid w:val="00BA245F"/>
    <w:pPr>
      <w:spacing w:after="0" w:line="240" w:lineRule="auto"/>
    </w:pPr>
    <w:rPr>
      <w:rFonts w:ascii="Times New Roman" w:eastAsia="Times New Roman" w:hAnsi="Times New Roman" w:cs="Times New Roman"/>
      <w:sz w:val="20"/>
      <w:szCs w:val="20"/>
      <w:lang w:val="en-ID" w:eastAsia="en-ID"/>
    </w:rPr>
  </w:style>
  <w:style w:type="character" w:customStyle="1" w:styleId="FootnoteTextChar">
    <w:name w:val="Footnote Text Char"/>
    <w:basedOn w:val="DefaultParagraphFont"/>
    <w:link w:val="FootnoteText"/>
    <w:uiPriority w:val="99"/>
    <w:semiHidden/>
    <w:rsid w:val="00BA245F"/>
    <w:rPr>
      <w:rFonts w:ascii="Times New Roman" w:eastAsia="Times New Roman" w:hAnsi="Times New Roman" w:cs="Times New Roman"/>
      <w:sz w:val="20"/>
      <w:szCs w:val="20"/>
      <w:lang w:val="en-ID" w:eastAsia="en-ID"/>
    </w:rPr>
  </w:style>
  <w:style w:type="character" w:styleId="FollowedHyperlink">
    <w:name w:val="FollowedHyperlink"/>
    <w:basedOn w:val="DefaultParagraphFont"/>
    <w:uiPriority w:val="99"/>
    <w:semiHidden/>
    <w:unhideWhenUsed/>
    <w:rsid w:val="006E616E"/>
    <w:rPr>
      <w:color w:val="954F72" w:themeColor="followedHyperlink"/>
      <w:u w:val="single"/>
    </w:rPr>
  </w:style>
  <w:style w:type="character" w:styleId="UnresolvedMention">
    <w:name w:val="Unresolved Mention"/>
    <w:basedOn w:val="DefaultParagraphFont"/>
    <w:uiPriority w:val="99"/>
    <w:semiHidden/>
    <w:unhideWhenUsed/>
    <w:rsid w:val="00A15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latielpinasiahaan@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4783/jin.v7i1.132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atielpinasiahaan@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iurmalau030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agihjelita27@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ournal-stiayappimakassar.ac.id/index.php/Birokrasi"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cBAgGIR6SA7JtkXITilS4H4Quw==">CgMxLjAyCWguMWZvYjl0ZTIJaC4xZm9iOXRlMgloLjFmb2I5dGUyDmguNGEwOHI0OWNzNm15MgloLjFmb2I5dGUyDmguZGlyNTBycjd0NzEyMgloLjFmb2I5dGUyCWguMWZvYjl0ZTIJaC4xZm9iOXRlMgloLjFmb2I5dGUyCWguMWZvYjl0ZTIJaC4xZm9iOXRlMgloLjFmb2I5dGUyDmgubzluNWQ5YTN0YWN5Mg5oLnFxZGk4cW9rZHRndjIOaC50YmM4bW96ODdmaGUyDmgudGJjOG1vejg3ZmhlMg5oLnRiYzhtb3o4N2ZoZTIOaC50YmM4bW96ODdmaGUyDmgudGJjOG1vejg3ZmhlMgloLjFmb2I5dGU4AHIhMUxnSzhYNFZnRXVIWC12U1ZKSWdBZWkwbGdSZEZfX1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6712</Words>
  <Characters>38262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Reviewer</cp:lastModifiedBy>
  <cp:revision>2</cp:revision>
  <dcterms:created xsi:type="dcterms:W3CDTF">2026-06-04T03:58:00Z</dcterms:created>
  <dcterms:modified xsi:type="dcterms:W3CDTF">2026-06-04T03:58:00Z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