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AACA8" w14:textId="77777777" w:rsidR="00A15E6D" w:rsidRDefault="00043BE8" w:rsidP="00A15E6D">
      <w:pPr>
        <w:spacing w:after="0" w:line="240" w:lineRule="auto"/>
        <w:jc w:val="center"/>
        <w:rPr>
          <w:rFonts w:ascii="Times New Roman" w:eastAsia="Times New Roman" w:hAnsi="Times New Roman" w:cs="Times New Roman"/>
          <w:b/>
          <w:bCs/>
          <w:sz w:val="28"/>
          <w:szCs w:val="28"/>
        </w:rPr>
      </w:pPr>
      <w:r w:rsidRPr="00A15E6D">
        <w:rPr>
          <w:rFonts w:ascii="Times New Roman" w:eastAsia="Times New Roman" w:hAnsi="Times New Roman" w:cs="Times New Roman"/>
          <w:b/>
          <w:bCs/>
          <w:sz w:val="28"/>
          <w:szCs w:val="28"/>
        </w:rPr>
        <w:t xml:space="preserve">Pengelolaan Pos Lintas Batas Negara (PLBN) </w:t>
      </w:r>
      <w:r w:rsidRPr="00A15E6D">
        <w:rPr>
          <w:rFonts w:ascii="Times New Roman" w:eastAsia="Times New Roman" w:hAnsi="Times New Roman" w:cs="Times New Roman"/>
          <w:b/>
          <w:bCs/>
          <w:sz w:val="28"/>
          <w:szCs w:val="28"/>
          <w:lang w:val="en-US"/>
        </w:rPr>
        <w:t>d</w:t>
      </w:r>
      <w:r w:rsidRPr="00A15E6D">
        <w:rPr>
          <w:rFonts w:ascii="Times New Roman" w:eastAsia="Times New Roman" w:hAnsi="Times New Roman" w:cs="Times New Roman"/>
          <w:b/>
          <w:bCs/>
          <w:sz w:val="28"/>
          <w:szCs w:val="28"/>
        </w:rPr>
        <w:t>i Wilayah Perbatasan Darat Indonesia</w:t>
      </w:r>
    </w:p>
    <w:p w14:paraId="0A04179C" w14:textId="5A4FC34D" w:rsidR="003C085F" w:rsidRPr="00A15E6D" w:rsidRDefault="00A15E6D" w:rsidP="00A15E6D">
      <w:pPr>
        <w:spacing w:after="0" w:line="240" w:lineRule="auto"/>
        <w:jc w:val="center"/>
        <w:rPr>
          <w:rFonts w:ascii="Times New Roman" w:eastAsia="Times New Roman" w:hAnsi="Times New Roman" w:cs="Times New Roman"/>
          <w:sz w:val="24"/>
          <w:szCs w:val="24"/>
        </w:rPr>
      </w:pPr>
      <w:r w:rsidRPr="00A15E6D">
        <w:rPr>
          <w:rFonts w:ascii="Times New Roman" w:eastAsia="Times New Roman" w:hAnsi="Times New Roman" w:cs="Times New Roman"/>
          <w:sz w:val="24"/>
          <w:szCs w:val="24"/>
        </w:rPr>
        <w:t>(</w:t>
      </w:r>
      <w:r w:rsidR="00043BE8" w:rsidRPr="00A15E6D">
        <w:rPr>
          <w:rFonts w:ascii="Times New Roman" w:eastAsia="Times New Roman" w:hAnsi="Times New Roman" w:cs="Times New Roman"/>
          <w:sz w:val="24"/>
          <w:szCs w:val="24"/>
        </w:rPr>
        <w:t xml:space="preserve">Analisis Hukum Internasional </w:t>
      </w:r>
      <w:r w:rsidR="00043BE8" w:rsidRPr="00A15E6D">
        <w:rPr>
          <w:rFonts w:ascii="Times New Roman" w:eastAsia="Times New Roman" w:hAnsi="Times New Roman" w:cs="Times New Roman"/>
          <w:sz w:val="24"/>
          <w:szCs w:val="24"/>
          <w:lang w:val="en-US"/>
        </w:rPr>
        <w:t>d</w:t>
      </w:r>
      <w:r w:rsidR="00043BE8" w:rsidRPr="00A15E6D">
        <w:rPr>
          <w:rFonts w:ascii="Times New Roman" w:eastAsia="Times New Roman" w:hAnsi="Times New Roman" w:cs="Times New Roman"/>
          <w:sz w:val="24"/>
          <w:szCs w:val="24"/>
        </w:rPr>
        <w:t xml:space="preserve">an Harmonisasi Regulasiprapenuntutan </w:t>
      </w:r>
      <w:r w:rsidR="00043BE8" w:rsidRPr="00A15E6D">
        <w:rPr>
          <w:rFonts w:ascii="Times New Roman" w:eastAsia="Times New Roman" w:hAnsi="Times New Roman" w:cs="Times New Roman"/>
          <w:sz w:val="24"/>
          <w:szCs w:val="24"/>
          <w:lang w:val="en-US"/>
        </w:rPr>
        <w:t>d</w:t>
      </w:r>
      <w:r w:rsidR="00043BE8" w:rsidRPr="00A15E6D">
        <w:rPr>
          <w:rFonts w:ascii="Times New Roman" w:eastAsia="Times New Roman" w:hAnsi="Times New Roman" w:cs="Times New Roman"/>
          <w:sz w:val="24"/>
          <w:szCs w:val="24"/>
        </w:rPr>
        <w:t>an Penuntutan</w:t>
      </w:r>
      <w:r w:rsidRPr="00A15E6D">
        <w:rPr>
          <w:rFonts w:ascii="Times New Roman" w:eastAsia="Times New Roman" w:hAnsi="Times New Roman" w:cs="Times New Roman"/>
          <w:sz w:val="24"/>
          <w:szCs w:val="24"/>
        </w:rPr>
        <w:t>)</w:t>
      </w:r>
    </w:p>
    <w:p w14:paraId="2E596033" w14:textId="77777777" w:rsidR="00BA245F" w:rsidRPr="001E6473" w:rsidRDefault="00BA245F" w:rsidP="00A15E6D">
      <w:pPr>
        <w:spacing w:after="0" w:line="240" w:lineRule="auto"/>
        <w:jc w:val="center"/>
        <w:rPr>
          <w:rFonts w:ascii="Times New Roman" w:eastAsia="Times New Roman" w:hAnsi="Times New Roman" w:cs="Times New Roman"/>
          <w:b/>
          <w:bCs/>
          <w:sz w:val="16"/>
          <w:szCs w:val="16"/>
        </w:rPr>
      </w:pPr>
    </w:p>
    <w:p w14:paraId="269FBCFB" w14:textId="77777777" w:rsidR="00BA245F" w:rsidRPr="00A15E6D" w:rsidRDefault="00BA245F" w:rsidP="00A15E6D">
      <w:pPr>
        <w:spacing w:after="0" w:line="240" w:lineRule="auto"/>
        <w:jc w:val="center"/>
        <w:rPr>
          <w:rFonts w:ascii="Times New Roman" w:eastAsia="Times New Roman" w:hAnsi="Times New Roman" w:cs="Times New Roman"/>
          <w:b/>
          <w:bCs/>
          <w:sz w:val="24"/>
          <w:szCs w:val="24"/>
        </w:rPr>
      </w:pPr>
      <w:r w:rsidRPr="00A15E6D">
        <w:rPr>
          <w:rFonts w:ascii="Times New Roman" w:eastAsia="Times New Roman" w:hAnsi="Times New Roman" w:cs="Times New Roman"/>
          <w:b/>
          <w:bCs/>
          <w:sz w:val="24"/>
          <w:szCs w:val="24"/>
        </w:rPr>
        <w:t>Melati Elpina Siahaan, Jelita Saragih, Yohana Tiur Indah Malau</w:t>
      </w:r>
    </w:p>
    <w:p w14:paraId="7A4FE7E2" w14:textId="068CA2EE" w:rsidR="00BA245F" w:rsidRPr="00A15E6D" w:rsidRDefault="00BA245F" w:rsidP="00A15E6D">
      <w:pPr>
        <w:spacing w:after="0" w:line="240" w:lineRule="auto"/>
        <w:jc w:val="center"/>
        <w:rPr>
          <w:rFonts w:ascii="Times New Roman" w:eastAsia="Times New Roman" w:hAnsi="Times New Roman" w:cs="Times New Roman"/>
          <w:sz w:val="20"/>
          <w:szCs w:val="20"/>
        </w:rPr>
      </w:pPr>
      <w:r w:rsidRPr="00A15E6D">
        <w:rPr>
          <w:rFonts w:ascii="Times New Roman" w:eastAsia="Times New Roman" w:hAnsi="Times New Roman" w:cs="Times New Roman"/>
          <w:sz w:val="20"/>
          <w:szCs w:val="20"/>
          <w:vertAlign w:val="superscript"/>
        </w:rPr>
        <w:t>1</w:t>
      </w:r>
      <w:r w:rsidR="00A15E6D" w:rsidRPr="00A15E6D">
        <w:rPr>
          <w:rFonts w:ascii="Times New Roman" w:eastAsia="Times New Roman" w:hAnsi="Times New Roman" w:cs="Times New Roman"/>
          <w:sz w:val="20"/>
          <w:szCs w:val="20"/>
          <w:vertAlign w:val="superscript"/>
        </w:rPr>
        <w:t>-</w:t>
      </w:r>
      <w:r w:rsidRPr="00A15E6D">
        <w:rPr>
          <w:rFonts w:ascii="Times New Roman" w:eastAsia="Times New Roman" w:hAnsi="Times New Roman" w:cs="Times New Roman"/>
          <w:sz w:val="20"/>
          <w:szCs w:val="20"/>
          <w:vertAlign w:val="superscript"/>
        </w:rPr>
        <w:t>3</w:t>
      </w:r>
      <w:r w:rsidRPr="00A15E6D">
        <w:rPr>
          <w:rFonts w:ascii="Times New Roman" w:eastAsia="Times New Roman" w:hAnsi="Times New Roman" w:cs="Times New Roman"/>
          <w:sz w:val="20"/>
          <w:szCs w:val="20"/>
        </w:rPr>
        <w:t>Program Studi Ilmu Hukum, Fakultas Ilmu Sosial dan Ilmu Politik</w:t>
      </w:r>
      <w:r w:rsidR="00A15E6D" w:rsidRPr="00A15E6D">
        <w:rPr>
          <w:rFonts w:ascii="Times New Roman" w:eastAsia="Times New Roman" w:hAnsi="Times New Roman" w:cs="Times New Roman"/>
          <w:sz w:val="20"/>
          <w:szCs w:val="20"/>
        </w:rPr>
        <w:t xml:space="preserve">. </w:t>
      </w:r>
      <w:r w:rsidRPr="00A15E6D">
        <w:rPr>
          <w:rFonts w:ascii="Times New Roman" w:eastAsia="Times New Roman" w:hAnsi="Times New Roman" w:cs="Times New Roman"/>
          <w:sz w:val="20"/>
          <w:szCs w:val="20"/>
        </w:rPr>
        <w:t>Universitas Maritim Raja Ali Haji, Tanjungpinang</w:t>
      </w:r>
      <w:r w:rsidR="00A15E6D" w:rsidRPr="00A15E6D">
        <w:rPr>
          <w:rFonts w:ascii="Times New Roman" w:eastAsia="Times New Roman" w:hAnsi="Times New Roman" w:cs="Times New Roman"/>
          <w:sz w:val="20"/>
          <w:szCs w:val="20"/>
        </w:rPr>
        <w:t>, Indonesia</w:t>
      </w:r>
    </w:p>
    <w:p w14:paraId="593D0EC2" w14:textId="34553F4E" w:rsidR="003C085F" w:rsidRPr="00A15E6D" w:rsidRDefault="00BA245F" w:rsidP="00A15E6D">
      <w:pPr>
        <w:spacing w:after="0" w:line="240" w:lineRule="auto"/>
        <w:jc w:val="center"/>
        <w:rPr>
          <w:rFonts w:ascii="Times New Roman" w:eastAsia="Times New Roman" w:hAnsi="Times New Roman" w:cs="Times New Roman"/>
          <w:b/>
          <w:bCs/>
          <w:i/>
          <w:iCs/>
          <w:sz w:val="20"/>
          <w:szCs w:val="20"/>
        </w:rPr>
      </w:pPr>
      <w:r w:rsidRPr="00A15E6D">
        <w:rPr>
          <w:rFonts w:ascii="Times New Roman" w:eastAsia="Times New Roman" w:hAnsi="Times New Roman" w:cs="Times New Roman"/>
          <w:i/>
          <w:iCs/>
          <w:sz w:val="20"/>
          <w:szCs w:val="20"/>
        </w:rPr>
        <w:t>Email:</w:t>
      </w:r>
      <w:r w:rsidR="00A15E6D" w:rsidRPr="00A15E6D">
        <w:rPr>
          <w:rFonts w:ascii="Times New Roman" w:hAnsi="Times New Roman" w:cs="Times New Roman"/>
          <w:i/>
          <w:iCs/>
          <w:sz w:val="20"/>
          <w:szCs w:val="20"/>
        </w:rPr>
        <w:t xml:space="preserve"> </w:t>
      </w:r>
      <w:hyperlink r:id="rId8" w:history="1">
        <w:r w:rsidR="00A15E6D" w:rsidRPr="00A15E6D">
          <w:rPr>
            <w:rStyle w:val="Hyperlink"/>
            <w:rFonts w:ascii="Times New Roman" w:eastAsia="Times New Roman" w:hAnsi="Times New Roman" w:cs="Times New Roman"/>
            <w:i/>
            <w:iCs/>
            <w:sz w:val="20"/>
            <w:szCs w:val="20"/>
          </w:rPr>
          <w:t>melatielpinasiahaan@gmail.com</w:t>
        </w:r>
      </w:hyperlink>
      <w:r w:rsidR="00A15E6D" w:rsidRPr="00A15E6D">
        <w:rPr>
          <w:rFonts w:ascii="Times New Roman" w:eastAsia="Times New Roman" w:hAnsi="Times New Roman" w:cs="Times New Roman"/>
          <w:i/>
          <w:iCs/>
          <w:sz w:val="20"/>
          <w:szCs w:val="20"/>
          <w:vertAlign w:val="superscript"/>
        </w:rPr>
        <w:t>1*</w:t>
      </w:r>
      <w:r w:rsidRPr="00A15E6D">
        <w:rPr>
          <w:rFonts w:ascii="Times New Roman" w:eastAsia="Times New Roman" w:hAnsi="Times New Roman" w:cs="Times New Roman"/>
          <w:i/>
          <w:iCs/>
          <w:sz w:val="20"/>
          <w:szCs w:val="20"/>
        </w:rPr>
        <w:t xml:space="preserve">, </w:t>
      </w:r>
      <w:hyperlink r:id="rId9" w:history="1">
        <w:r w:rsidR="00A15E6D" w:rsidRPr="00A15E6D">
          <w:rPr>
            <w:rStyle w:val="Hyperlink"/>
            <w:rFonts w:ascii="Times New Roman" w:eastAsia="Times New Roman" w:hAnsi="Times New Roman" w:cs="Times New Roman"/>
            <w:i/>
            <w:iCs/>
            <w:sz w:val="20"/>
            <w:szCs w:val="20"/>
          </w:rPr>
          <w:t>saragihjelita27@gmail.com</w:t>
        </w:r>
      </w:hyperlink>
      <w:r w:rsidRPr="00A15E6D">
        <w:rPr>
          <w:rFonts w:ascii="Times New Roman" w:eastAsia="Times New Roman" w:hAnsi="Times New Roman" w:cs="Times New Roman"/>
          <w:i/>
          <w:iCs/>
          <w:sz w:val="20"/>
          <w:szCs w:val="20"/>
          <w:vertAlign w:val="superscript"/>
        </w:rPr>
        <w:t>2</w:t>
      </w:r>
      <w:r w:rsidR="00A15E6D" w:rsidRPr="00A15E6D">
        <w:rPr>
          <w:rFonts w:ascii="Times New Roman" w:eastAsia="Times New Roman" w:hAnsi="Times New Roman" w:cs="Times New Roman"/>
          <w:i/>
          <w:iCs/>
          <w:sz w:val="20"/>
          <w:szCs w:val="20"/>
        </w:rPr>
        <w:t xml:space="preserve">, </w:t>
      </w:r>
      <w:hyperlink r:id="rId10" w:history="1">
        <w:r w:rsidRPr="00A15E6D">
          <w:rPr>
            <w:rStyle w:val="Hyperlink"/>
            <w:rFonts w:ascii="Times New Roman" w:eastAsia="Times New Roman" w:hAnsi="Times New Roman" w:cs="Times New Roman"/>
            <w:i/>
            <w:iCs/>
            <w:sz w:val="20"/>
            <w:szCs w:val="20"/>
          </w:rPr>
          <w:t>tiurmalau0301@gmail.com</w:t>
        </w:r>
      </w:hyperlink>
      <w:r w:rsidRPr="00A15E6D">
        <w:rPr>
          <w:rFonts w:ascii="Times New Roman" w:eastAsia="Times New Roman" w:hAnsi="Times New Roman" w:cs="Times New Roman"/>
          <w:i/>
          <w:iCs/>
          <w:sz w:val="20"/>
          <w:szCs w:val="20"/>
          <w:vertAlign w:val="superscript"/>
        </w:rPr>
        <w:t>3</w:t>
      </w:r>
    </w:p>
    <w:p w14:paraId="166C16A0" w14:textId="69426CCF" w:rsidR="003C085F" w:rsidRPr="00A15E6D" w:rsidRDefault="00A15E6D" w:rsidP="00A15E6D">
      <w:pPr>
        <w:spacing w:after="0" w:line="240" w:lineRule="auto"/>
        <w:jc w:val="center"/>
        <w:rPr>
          <w:rFonts w:ascii="Times New Roman" w:eastAsia="Times New Roman" w:hAnsi="Times New Roman" w:cs="Times New Roman"/>
          <w:i/>
          <w:iCs/>
          <w:sz w:val="20"/>
          <w:szCs w:val="20"/>
          <w:vertAlign w:val="superscript"/>
        </w:rPr>
      </w:pPr>
      <w:r w:rsidRPr="00A15E6D">
        <w:rPr>
          <w:rFonts w:ascii="Times New Roman" w:eastAsia="Times New Roman" w:hAnsi="Times New Roman" w:cs="Times New Roman"/>
          <w:i/>
          <w:iCs/>
          <w:sz w:val="20"/>
          <w:szCs w:val="20"/>
          <w:vertAlign w:val="superscript"/>
        </w:rPr>
        <w:t>*</w:t>
      </w:r>
      <w:r w:rsidRPr="00A15E6D">
        <w:rPr>
          <w:rFonts w:ascii="Times New Roman" w:eastAsia="Times New Roman" w:hAnsi="Times New Roman" w:cs="Times New Roman"/>
          <w:i/>
          <w:iCs/>
          <w:sz w:val="20"/>
          <w:szCs w:val="20"/>
        </w:rPr>
        <w:t xml:space="preserve">Penulis korespondensi: </w:t>
      </w:r>
      <w:hyperlink r:id="rId11" w:history="1">
        <w:r w:rsidRPr="00A15E6D">
          <w:rPr>
            <w:rStyle w:val="Hyperlink"/>
            <w:rFonts w:ascii="Times New Roman" w:eastAsia="Times New Roman" w:hAnsi="Times New Roman" w:cs="Times New Roman"/>
            <w:i/>
            <w:iCs/>
            <w:sz w:val="20"/>
            <w:szCs w:val="20"/>
          </w:rPr>
          <w:t>melatielpinasiahaan@gmail.com</w:t>
        </w:r>
      </w:hyperlink>
      <w:r w:rsidRPr="00A15E6D">
        <w:rPr>
          <w:rFonts w:ascii="Times New Roman" w:eastAsia="Times New Roman" w:hAnsi="Times New Roman" w:cs="Times New Roman"/>
          <w:i/>
          <w:iCs/>
          <w:sz w:val="20"/>
          <w:szCs w:val="20"/>
          <w:vertAlign w:val="superscript"/>
        </w:rPr>
        <w:t>1</w:t>
      </w:r>
    </w:p>
    <w:p w14:paraId="55B89E7A" w14:textId="77777777" w:rsidR="00A15E6D" w:rsidRPr="001E6473" w:rsidRDefault="00A15E6D" w:rsidP="00A15E6D">
      <w:pPr>
        <w:spacing w:after="0" w:line="240" w:lineRule="auto"/>
        <w:jc w:val="both"/>
        <w:rPr>
          <w:rFonts w:ascii="Times New Roman" w:eastAsia="Times New Roman" w:hAnsi="Times New Roman" w:cs="Times New Roman"/>
          <w:b/>
          <w:bCs/>
          <w:i/>
          <w:iCs/>
          <w:sz w:val="16"/>
          <w:szCs w:val="16"/>
        </w:rPr>
      </w:pPr>
    </w:p>
    <w:p w14:paraId="4BACAC0D" w14:textId="4D00DCBA" w:rsidR="003C085F" w:rsidRPr="00A15E6D" w:rsidRDefault="00A444B1" w:rsidP="00A15E6D">
      <w:pPr>
        <w:spacing w:after="0" w:line="240" w:lineRule="auto"/>
        <w:jc w:val="both"/>
        <w:rPr>
          <w:rFonts w:ascii="Times New Roman" w:eastAsia="Times New Roman" w:hAnsi="Times New Roman" w:cs="Times New Roman"/>
          <w:i/>
          <w:iCs/>
          <w:sz w:val="20"/>
          <w:szCs w:val="20"/>
        </w:rPr>
      </w:pPr>
      <w:r w:rsidRPr="00A15E6D">
        <w:rPr>
          <w:rFonts w:ascii="Times New Roman" w:eastAsia="Times New Roman" w:hAnsi="Times New Roman" w:cs="Times New Roman"/>
          <w:b/>
          <w:bCs/>
          <w:i/>
          <w:iCs/>
          <w:sz w:val="20"/>
          <w:szCs w:val="20"/>
        </w:rPr>
        <w:t>Abstract</w:t>
      </w:r>
      <w:r w:rsidRPr="00A15E6D">
        <w:rPr>
          <w:rFonts w:ascii="Times New Roman" w:eastAsia="Times New Roman" w:hAnsi="Times New Roman" w:cs="Times New Roman"/>
          <w:i/>
          <w:iCs/>
          <w:sz w:val="20"/>
          <w:szCs w:val="20"/>
        </w:rPr>
        <w:t xml:space="preserve">. </w:t>
      </w:r>
      <w:r w:rsidR="00BA245F" w:rsidRPr="00A15E6D">
        <w:rPr>
          <w:rFonts w:ascii="Times New Roman" w:eastAsia="Times New Roman" w:hAnsi="Times New Roman" w:cs="Times New Roman"/>
          <w:i/>
          <w:iCs/>
          <w:sz w:val="20"/>
          <w:szCs w:val="20"/>
        </w:rPr>
        <w:t>The management of Indonesia's Border Crossing Posts (Pos Lintas Batas Negara/PLBN) in land border areas presents a critical normative gap between the country's international legal obligations and their actual implementation. This study departs from prior descriptive approaches by offering a critical normative-gap analysis that identifies specific disharmonies between bilateral agreements, international conventions, and national legislation governing PLBN operations. Employing a normative juridical method with statute, conceptual, and case approaches, this research examines three focal issues: (1) the normative gap between Indonesia's international legal commitments under instruments such as the United Nations Charter, Vienna Convention on Consular Relations 1963, Revised Kyoto Convention, International Health Regulations 2005, and the United Nations Convention against Transnational Organized Crime (UNTOC), and their domestic implementation; (2) the legal factors generating regulatory disharmony in PLBN governance, particularly the inconsistency between bilateral Border Crossing Agreements with Malaysia and Timor-Leste and national legislation; and (3) specific case-based evidence of implementation failures, including unauthorized border crossings at PLBN Motamasin and the pending boundary delimitation in the Noel Besi Citrana and Bidjael Sunan Oben segments with Timor-Leste. The findings reveal that regulatory disharmony, institutional fragmentation in the CIQS system, inadequate human resource capacity, and unresolved boundary disputes constitute structural legal deficits that undermine the effective governance of PLBN. This article recommends a comprehensive legal harmonization strategy, strengthened bilateral diplomatic engagement, and institutional reform grounded in international legal standards.</w:t>
      </w:r>
    </w:p>
    <w:p w14:paraId="3A5143D8" w14:textId="77777777" w:rsidR="003C085F" w:rsidRPr="001E6473" w:rsidRDefault="003C085F" w:rsidP="00A15E6D">
      <w:pPr>
        <w:spacing w:after="0" w:line="240" w:lineRule="auto"/>
        <w:jc w:val="both"/>
        <w:rPr>
          <w:rFonts w:ascii="Times New Roman" w:eastAsia="Times New Roman" w:hAnsi="Times New Roman" w:cs="Times New Roman"/>
          <w:i/>
          <w:iCs/>
          <w:sz w:val="16"/>
          <w:szCs w:val="16"/>
        </w:rPr>
      </w:pPr>
    </w:p>
    <w:p w14:paraId="21E5A730" w14:textId="15EBEABC" w:rsidR="00A15E6D" w:rsidRPr="00A15E6D" w:rsidRDefault="00A444B1" w:rsidP="00A15E6D">
      <w:pPr>
        <w:spacing w:after="0" w:line="240" w:lineRule="auto"/>
        <w:jc w:val="both"/>
        <w:rPr>
          <w:rFonts w:ascii="Times New Roman" w:eastAsia="Times New Roman" w:hAnsi="Times New Roman" w:cs="Times New Roman"/>
          <w:i/>
          <w:iCs/>
          <w:sz w:val="20"/>
          <w:szCs w:val="20"/>
        </w:rPr>
      </w:pPr>
      <w:r w:rsidRPr="00A15E6D">
        <w:rPr>
          <w:rFonts w:ascii="Times New Roman" w:eastAsia="Times New Roman" w:hAnsi="Times New Roman" w:cs="Times New Roman"/>
          <w:b/>
          <w:bCs/>
          <w:i/>
          <w:iCs/>
          <w:sz w:val="20"/>
          <w:szCs w:val="20"/>
        </w:rPr>
        <w:t>Keywords</w:t>
      </w:r>
      <w:r w:rsidRPr="00A15E6D">
        <w:rPr>
          <w:rFonts w:ascii="Times New Roman" w:eastAsia="Times New Roman" w:hAnsi="Times New Roman" w:cs="Times New Roman"/>
          <w:i/>
          <w:iCs/>
          <w:sz w:val="20"/>
          <w:szCs w:val="20"/>
        </w:rPr>
        <w:t xml:space="preserve">: </w:t>
      </w:r>
      <w:r w:rsidR="00A15E6D" w:rsidRPr="00A15E6D">
        <w:rPr>
          <w:rFonts w:ascii="Times New Roman" w:eastAsia="Times New Roman" w:hAnsi="Times New Roman" w:cs="Times New Roman"/>
          <w:i/>
          <w:iCs/>
          <w:sz w:val="20"/>
          <w:szCs w:val="20"/>
        </w:rPr>
        <w:t>Border Governance; International Law; Normative Gap; PLBN; Regulatory Disharmony.</w:t>
      </w:r>
    </w:p>
    <w:p w14:paraId="7254C6D2" w14:textId="77777777" w:rsidR="003C085F" w:rsidRPr="001E6473" w:rsidRDefault="003C085F" w:rsidP="00A15E6D">
      <w:pPr>
        <w:spacing w:after="0" w:line="240" w:lineRule="auto"/>
        <w:jc w:val="both"/>
        <w:rPr>
          <w:rFonts w:ascii="Times New Roman" w:eastAsia="Times New Roman" w:hAnsi="Times New Roman" w:cs="Times New Roman"/>
          <w:sz w:val="16"/>
          <w:szCs w:val="16"/>
        </w:rPr>
      </w:pPr>
    </w:p>
    <w:p w14:paraId="07ABDE10" w14:textId="42276701" w:rsidR="00BA245F" w:rsidRPr="00A15E6D" w:rsidRDefault="00A444B1" w:rsidP="00A15E6D">
      <w:pPr>
        <w:spacing w:after="0" w:line="240" w:lineRule="auto"/>
        <w:jc w:val="both"/>
        <w:rPr>
          <w:rFonts w:ascii="Times New Roman" w:eastAsia="Times New Roman" w:hAnsi="Times New Roman" w:cs="Times New Roman"/>
          <w:sz w:val="20"/>
          <w:szCs w:val="20"/>
        </w:rPr>
      </w:pPr>
      <w:r w:rsidRPr="00A15E6D">
        <w:rPr>
          <w:rFonts w:ascii="Times New Roman" w:eastAsia="Times New Roman" w:hAnsi="Times New Roman" w:cs="Times New Roman"/>
          <w:b/>
          <w:bCs/>
          <w:sz w:val="20"/>
          <w:szCs w:val="20"/>
        </w:rPr>
        <w:t>Abstrak</w:t>
      </w:r>
      <w:r w:rsidRPr="00A15E6D">
        <w:rPr>
          <w:rFonts w:ascii="Times New Roman" w:eastAsia="Times New Roman" w:hAnsi="Times New Roman" w:cs="Times New Roman"/>
          <w:sz w:val="20"/>
          <w:szCs w:val="20"/>
        </w:rPr>
        <w:t xml:space="preserve">. </w:t>
      </w:r>
      <w:r w:rsidR="00BA245F" w:rsidRPr="00A15E6D">
        <w:rPr>
          <w:rFonts w:ascii="Times New Roman" w:eastAsia="Times New Roman" w:hAnsi="Times New Roman" w:cs="Times New Roman"/>
          <w:sz w:val="20"/>
          <w:szCs w:val="20"/>
        </w:rPr>
        <w:t>Pengelolaan Pos Lintas Batas Negara (PLBN) di wilayah perbatasan darat Indonesia menyimpan kesenjangan normatif yang signifikan antara komitmen hukum internasional dan implementasinya di lapangan. Berbeda dari kajian sebelumnya yang cenderung deskriptif, penelitian ini menawarkan analisis kesenjangan normatif kritis yang mengidentifikasi disharmonisasi spesifik antara perjanjian bilateral, konvensi internasional, dan peraturan perundang-undangan nasional yang mengatur operasional PLBN. Dengan menggunakan metode yuridis normatif melalui pendekatan perundang-undangan (statute approach), pendekatan konseptual (conceptual approach), dan pendekatan kasus (case approach), penelitian ini mengkaji tiga permasalahan utama: (1) kesenjangan normatif antara komitmen hukum internasional Indonesia</w:t>
      </w:r>
      <w:r w:rsidR="00902771" w:rsidRPr="00A15E6D">
        <w:rPr>
          <w:rFonts w:ascii="Times New Roman" w:eastAsia="Times New Roman" w:hAnsi="Times New Roman" w:cs="Times New Roman"/>
          <w:sz w:val="20"/>
          <w:szCs w:val="20"/>
          <w:lang w:val="en-US"/>
        </w:rPr>
        <w:t xml:space="preserve"> </w:t>
      </w:r>
      <w:r w:rsidR="00BA245F" w:rsidRPr="00A15E6D">
        <w:rPr>
          <w:rFonts w:ascii="Times New Roman" w:eastAsia="Times New Roman" w:hAnsi="Times New Roman" w:cs="Times New Roman"/>
          <w:sz w:val="20"/>
          <w:szCs w:val="20"/>
        </w:rPr>
        <w:t>termasuk Piagam PBB, Vienna Convention on Consular Relations 1963, Revised Kyoto Convention, International Health Regulations 2005, dan UNTOC</w:t>
      </w:r>
      <w:r w:rsidR="00902771" w:rsidRPr="00A15E6D">
        <w:rPr>
          <w:rFonts w:ascii="Times New Roman" w:eastAsia="Times New Roman" w:hAnsi="Times New Roman" w:cs="Times New Roman"/>
          <w:sz w:val="20"/>
          <w:szCs w:val="20"/>
          <w:lang w:val="en-US"/>
        </w:rPr>
        <w:t xml:space="preserve"> </w:t>
      </w:r>
      <w:r w:rsidR="00BA245F" w:rsidRPr="00A15E6D">
        <w:rPr>
          <w:rFonts w:ascii="Times New Roman" w:eastAsia="Times New Roman" w:hAnsi="Times New Roman" w:cs="Times New Roman"/>
          <w:sz w:val="20"/>
          <w:szCs w:val="20"/>
        </w:rPr>
        <w:t>dengan implementasi domestiknya; (2) faktor-faktor hukum yang melahirkan disharmonisasi regulasi dalam pengelolaan PLBN, khususnya inkonsistensi antara Border Crossing Agreement dengan Malaysia dan Timor-Leste terhadap regulasi nasional; serta (3) bukti empiris kegagalan implementasi berdasarkan studi kasus konkret, termasuk maraknya pelintas batas ilegal di PLBN Motamasin dan persoalan delimitasi batas di segmen Noel Besi Citrana dan Bidjael Sunan Oben. Hasil penelitian menunjukkan bahwa disharmonisasi regulasi, fragmentasi kelembagaan dalam sistem CIQS, keterbatasan kapasitas sumber daya manusia, dan sengketa batas yang belum terselesaikan merupakan defisit hukum struktural yang menghambat tata kelola PLBN yang efektif. Artikel ini merekomendasikan strategi harmonisasi hukum yang komprehensif, penguatan diplomasi bilateral yang berorientasi hukum, dan reformasi kelembagaan yang berlandaskan standar hukum internasional.</w:t>
      </w:r>
    </w:p>
    <w:p w14:paraId="1C9E4B16" w14:textId="77777777" w:rsidR="003C085F" w:rsidRPr="001E6473" w:rsidRDefault="003C085F" w:rsidP="00A15E6D">
      <w:pPr>
        <w:spacing w:after="0" w:line="240" w:lineRule="auto"/>
        <w:jc w:val="both"/>
        <w:rPr>
          <w:rFonts w:ascii="Times New Roman" w:eastAsia="Times New Roman" w:hAnsi="Times New Roman" w:cs="Times New Roman"/>
          <w:sz w:val="16"/>
          <w:szCs w:val="16"/>
        </w:rPr>
      </w:pPr>
    </w:p>
    <w:p w14:paraId="6131A0EF" w14:textId="0FF2AFD7" w:rsidR="00A15E6D" w:rsidRPr="00A15E6D" w:rsidRDefault="00A444B1" w:rsidP="00A15E6D">
      <w:pPr>
        <w:spacing w:after="0" w:line="240" w:lineRule="auto"/>
        <w:jc w:val="both"/>
        <w:rPr>
          <w:rFonts w:ascii="Times New Roman" w:eastAsia="Times New Roman" w:hAnsi="Times New Roman" w:cs="Times New Roman"/>
          <w:sz w:val="20"/>
          <w:szCs w:val="20"/>
        </w:rPr>
      </w:pPr>
      <w:r w:rsidRPr="00A15E6D">
        <w:rPr>
          <w:rFonts w:ascii="Times New Roman" w:eastAsia="Times New Roman" w:hAnsi="Times New Roman" w:cs="Times New Roman"/>
          <w:b/>
          <w:bCs/>
          <w:sz w:val="20"/>
          <w:szCs w:val="20"/>
        </w:rPr>
        <w:t>Kata kunci</w:t>
      </w:r>
      <w:r w:rsidRPr="00A15E6D">
        <w:rPr>
          <w:rFonts w:ascii="Times New Roman" w:eastAsia="Times New Roman" w:hAnsi="Times New Roman" w:cs="Times New Roman"/>
          <w:sz w:val="20"/>
          <w:szCs w:val="20"/>
        </w:rPr>
        <w:t xml:space="preserve">: </w:t>
      </w:r>
      <w:r w:rsidR="00A15E6D" w:rsidRPr="00A15E6D">
        <w:rPr>
          <w:rFonts w:ascii="Times New Roman" w:eastAsia="Times New Roman" w:hAnsi="Times New Roman" w:cs="Times New Roman"/>
          <w:sz w:val="20"/>
          <w:szCs w:val="20"/>
        </w:rPr>
        <w:t>Disharmonisasi Regulasi; Hukum Internasional; Kesenjangan Normatif; PLBN; Tata Kelola Perbatasan.</w:t>
      </w:r>
    </w:p>
    <w:p w14:paraId="37C9AF22" w14:textId="77777777" w:rsidR="00E660DC" w:rsidRPr="001E6473" w:rsidRDefault="00E660DC" w:rsidP="00A15E6D">
      <w:pPr>
        <w:spacing w:after="0" w:line="360" w:lineRule="auto"/>
        <w:rPr>
          <w:rFonts w:ascii="Times New Roman" w:eastAsia="Times New Roman" w:hAnsi="Times New Roman" w:cs="Times New Roman"/>
          <w:b/>
          <w:bCs/>
          <w:sz w:val="16"/>
          <w:szCs w:val="16"/>
        </w:rPr>
      </w:pPr>
    </w:p>
    <w:p w14:paraId="6237313E" w14:textId="77777777" w:rsidR="003C085F" w:rsidRPr="00A15E6D" w:rsidRDefault="00A444B1" w:rsidP="00A15E6D">
      <w:pPr>
        <w:numPr>
          <w:ilvl w:val="0"/>
          <w:numId w:val="2"/>
        </w:numPr>
        <w:pBdr>
          <w:top w:val="nil"/>
          <w:left w:val="nil"/>
          <w:bottom w:val="nil"/>
          <w:right w:val="nil"/>
          <w:between w:val="nil"/>
        </w:pBdr>
        <w:spacing w:after="0" w:line="360" w:lineRule="auto"/>
        <w:ind w:left="360"/>
        <w:rPr>
          <w:rFonts w:ascii="Times New Roman" w:eastAsia="Times New Roman" w:hAnsi="Times New Roman" w:cs="Times New Roman"/>
          <w:b/>
          <w:bCs/>
          <w:color w:val="000000"/>
          <w:sz w:val="24"/>
          <w:szCs w:val="24"/>
        </w:rPr>
      </w:pPr>
      <w:r w:rsidRPr="00A15E6D">
        <w:rPr>
          <w:rFonts w:ascii="Times New Roman" w:eastAsia="Times New Roman" w:hAnsi="Times New Roman" w:cs="Times New Roman"/>
          <w:b/>
          <w:bCs/>
          <w:color w:val="000000"/>
          <w:sz w:val="24"/>
          <w:szCs w:val="24"/>
        </w:rPr>
        <w:t xml:space="preserve">LATAR BELAKANG </w:t>
      </w:r>
    </w:p>
    <w:p w14:paraId="7999163C" w14:textId="4067BADE" w:rsidR="00E660DC" w:rsidRPr="00A15E6D" w:rsidRDefault="00E660DC" w:rsidP="00A15E6D">
      <w:pPr>
        <w:spacing w:after="0" w:line="360" w:lineRule="auto"/>
        <w:ind w:firstLine="630"/>
        <w:jc w:val="both"/>
        <w:rPr>
          <w:rFonts w:ascii="Times New Roman" w:hAnsi="Times New Roman" w:cs="Times New Roman"/>
          <w:sz w:val="24"/>
          <w:szCs w:val="24"/>
        </w:rPr>
      </w:pPr>
      <w:r w:rsidRPr="00A15E6D">
        <w:rPr>
          <w:rFonts w:ascii="Times New Roman" w:hAnsi="Times New Roman" w:cs="Times New Roman"/>
          <w:sz w:val="24"/>
          <w:szCs w:val="24"/>
        </w:rPr>
        <w:t xml:space="preserve">Wilayah perbatasan negara merupakan manifestasi fisik sekaligus yuridis dari kedaulatan suatu negara. Dalam perspektif hukum internasional, batas negara dipahami sebagai </w:t>
      </w:r>
      <w:r w:rsidRPr="00A15E6D">
        <w:rPr>
          <w:rFonts w:ascii="Times New Roman" w:hAnsi="Times New Roman" w:cs="Times New Roman"/>
          <w:sz w:val="24"/>
          <w:szCs w:val="24"/>
        </w:rPr>
        <w:lastRenderedPageBreak/>
        <w:t>garis pemisah yurisdiksi antarnegara yang ditetapkan berdasarkan perjanjian internasional dan diakui oleh masyarakat internasional. Konsep ini tidak hanya berkaitan dengan aspek geografis, tetapi juga mencerminkan eksistensi, integritas teritorial, dan kewenangan negara dalam menjalankan fungsi pemerintahan serta perlindungan hukum terhadap warga negaranya (Bangun, 2017). Pemikiran klasik mengenai kedaulatan negara telah lama dikemukakan oleh Jean Bodin yang menyatakan bahwa kedaulatan merupakan kekuasaan tertinggi yang bersifat tetap dan tidak terbagi dalam suatu negara (Bodin, 1576). Dalam perkembangan hukum internasional modern, prinsip kedaulatan kemudian ditegaskan kembali dalam Piagam Perserikatan Bangsa-Bangsa yang mengakui persamaan derajat dan integritas teritorial setiap negara (PBB, 1945).</w:t>
      </w:r>
    </w:p>
    <w:p w14:paraId="00F6E5D3" w14:textId="77777777" w:rsidR="00E660DC" w:rsidRPr="00A15E6D" w:rsidRDefault="00E660DC" w:rsidP="00A15E6D">
      <w:pPr>
        <w:spacing w:after="0" w:line="360" w:lineRule="auto"/>
        <w:ind w:firstLine="630"/>
        <w:jc w:val="both"/>
        <w:rPr>
          <w:rFonts w:ascii="Times New Roman" w:hAnsi="Times New Roman" w:cs="Times New Roman"/>
          <w:sz w:val="24"/>
          <w:szCs w:val="24"/>
        </w:rPr>
      </w:pPr>
      <w:r w:rsidRPr="00A15E6D">
        <w:rPr>
          <w:rFonts w:ascii="Times New Roman" w:hAnsi="Times New Roman" w:cs="Times New Roman"/>
          <w:sz w:val="24"/>
          <w:szCs w:val="24"/>
        </w:rPr>
        <w:t>Sebagai negara kepulauan terbesar di dunia, Indonesia memiliki karakteristik geografis yang kompleks dengan wilayah perbatasan darat dan laut yang sangat luas. Indonesia berbatasan langsung dengan Malaysia di Pulau Kalimantan sepanjang kurang lebih 2.004 kilometer, Papua Nugini di Pulau Papua sepanjang 820 kilometer, serta Timor-Leste di Pulau Timor. Kompleksitas tersebut menempatkan kawasan perbatasan sebagai ruang strategis yang memiliki dimensi pertahanan, keamanan, ekonomi, sosial, budaya, hingga diplomasi internasional (Presiden Republik Indonesia, 2022). Dalam konteks hukum internasional, pengelolaan wilayah perbatasan tidak hanya menjadi urusan domestik semata, tetapi juga berkaitan dengan kewajiban internasional negara dalam menjaga stabilitas kawasan dan menghormati perjanjian lintas batas yang telah disepakati (Siahaan, 2021).</w:t>
      </w:r>
    </w:p>
    <w:p w14:paraId="21E9E0FA" w14:textId="6678AB8A" w:rsidR="00E660DC" w:rsidRPr="00A15E6D" w:rsidRDefault="00E660DC" w:rsidP="00A15E6D">
      <w:pPr>
        <w:spacing w:after="0" w:line="360" w:lineRule="auto"/>
        <w:ind w:firstLine="630"/>
        <w:jc w:val="both"/>
        <w:rPr>
          <w:rFonts w:ascii="Times New Roman" w:hAnsi="Times New Roman" w:cs="Times New Roman"/>
          <w:sz w:val="24"/>
          <w:szCs w:val="24"/>
        </w:rPr>
      </w:pPr>
      <w:r w:rsidRPr="00A15E6D">
        <w:rPr>
          <w:rFonts w:ascii="Times New Roman" w:hAnsi="Times New Roman" w:cs="Times New Roman"/>
          <w:sz w:val="24"/>
          <w:szCs w:val="24"/>
        </w:rPr>
        <w:t>Permasalahan perbatasan Indonesia tidak dapat dilepaskan dari dinamika sejarah pembentukan batas wilayah yang diwariskan sejak era kolonial. Prinsip uti possidetis juris yang digunakan dalam penetapan batas wilayah negara pascakolonial menempatkan garis administratif kolonial sebagai dasar penentuan batas negara modern (Ekon, 2020). Prinsip tersebut juga pernah ditegaskan dalam putusan International Court of Justice pada kasus Burkina Faso v. Mali yang menekankan pentingnya stabilitas batas negara demi mencegah konflik antarnegara (Faso &amp; Mali, 1986). Dalam praktiknya, penerapan prinsip tersebut di Indonesia masih menghadapi berbagai kendala, terutama pada wilayah perbatasan dengan Timor-Leste yang hingga kini masih menyisakan beberapa segmen batas yang belum terselesaikan secara definitif (Herin, 2025).</w:t>
      </w:r>
    </w:p>
    <w:p w14:paraId="5AB38A17" w14:textId="3E59C59E" w:rsidR="00E660DC" w:rsidRPr="00A15E6D" w:rsidRDefault="00E660DC" w:rsidP="00A15E6D">
      <w:pPr>
        <w:spacing w:after="0" w:line="360" w:lineRule="auto"/>
        <w:ind w:firstLine="630"/>
        <w:jc w:val="both"/>
        <w:rPr>
          <w:rFonts w:ascii="Times New Roman" w:hAnsi="Times New Roman" w:cs="Times New Roman"/>
          <w:sz w:val="24"/>
          <w:szCs w:val="24"/>
        </w:rPr>
      </w:pPr>
      <w:r w:rsidRPr="00A15E6D">
        <w:rPr>
          <w:rFonts w:ascii="Times New Roman" w:hAnsi="Times New Roman" w:cs="Times New Roman"/>
          <w:sz w:val="24"/>
          <w:szCs w:val="24"/>
        </w:rPr>
        <w:t>Dalam kerangka pengelolaan kawasan perbatasan, Pos Lintas Batas Negara (PLBN) memiliki posisi strategis sebagai pintu gerbang utama negara. PLBN tidak hanya berfungsi sebagai tempat pemeriksaan keimigrasian dan kepabeanan, tetapi juga menjadi representasi simbolik kehadiran negara di wilayah terluar. Keberadaan PLBN mencerminkan kemampuan negara dalam mengimplementasikan norma hukum internasional ke dalam sistem hukum nasional secara efektif. Oleh sebab itu, pengelolaan PLBN tidak dapat dilepaskan dari kewajiban Indonesia untuk melaksanakan berbagai instrumen hukum internasional yang telah diratifikasi maupun diadopsi dalam praktik nasional.</w:t>
      </w:r>
    </w:p>
    <w:p w14:paraId="154F43C5" w14:textId="14FF1B3D" w:rsidR="00E660DC" w:rsidRPr="00A15E6D" w:rsidRDefault="00E660DC" w:rsidP="00A15E6D">
      <w:pPr>
        <w:spacing w:after="0" w:line="360" w:lineRule="auto"/>
        <w:ind w:firstLine="630"/>
        <w:jc w:val="both"/>
        <w:rPr>
          <w:rFonts w:ascii="Times New Roman" w:hAnsi="Times New Roman" w:cs="Times New Roman"/>
          <w:sz w:val="24"/>
          <w:szCs w:val="24"/>
        </w:rPr>
      </w:pPr>
      <w:r w:rsidRPr="00A15E6D">
        <w:rPr>
          <w:rFonts w:ascii="Times New Roman" w:hAnsi="Times New Roman" w:cs="Times New Roman"/>
          <w:sz w:val="24"/>
          <w:szCs w:val="24"/>
        </w:rPr>
        <w:t>Dalam beberapa tahun terakhir, pemerintah Indonesia menunjukkan komitmen yang kuat terhadap pembangunan kawasan perbatasan melalui pembangunan PLBN terpadu. Komitmen tersebut diwujudkan melalui Instruksi Presiden Nomor 6 Tahun 2015 tentang Percepatan Pembangunan 7 Pos Lintas Batas Negara Terpadu dan diperluas melalui Instruksi Presiden Nomor 1 Tahun 2019 tentang Percepatan Pembangunan 11 PLBN Terpadu. Kebijakan ini menjadi bagian dari agenda pembangunan nasional yang menempatkan kawasan perbatasan sebagai “beranda depan negara” (Presiden Republik Indonesia, 2015; Presiden Republik Indonesia, 2019). Selain itu, pemerintah juga menetapkan Peraturan Presiden Nomor 118 Tahun 2022 tentang Rencana Induk Pengelolaan Batas Wilayah Negara dan Kawasan Perbatasan Tahun 2020–2024 sebagai pedoman strategis pengelolaan perbatasan secara terpadu dan berkelanjutan (Presiden Republik Indonesia, 2022).</w:t>
      </w:r>
    </w:p>
    <w:p w14:paraId="1CE79A62" w14:textId="77777777" w:rsidR="00E660DC" w:rsidRPr="00A15E6D" w:rsidRDefault="00E660DC" w:rsidP="00A15E6D">
      <w:pPr>
        <w:spacing w:after="0" w:line="360" w:lineRule="auto"/>
        <w:ind w:firstLine="630"/>
        <w:jc w:val="both"/>
        <w:rPr>
          <w:rFonts w:ascii="Times New Roman" w:hAnsi="Times New Roman" w:cs="Times New Roman"/>
          <w:sz w:val="24"/>
          <w:szCs w:val="24"/>
        </w:rPr>
      </w:pPr>
      <w:r w:rsidRPr="00A15E6D">
        <w:rPr>
          <w:rFonts w:ascii="Times New Roman" w:hAnsi="Times New Roman" w:cs="Times New Roman"/>
          <w:sz w:val="24"/>
          <w:szCs w:val="24"/>
        </w:rPr>
        <w:t>Meskipun pembangunan infrastruktur PLBN berkembang pesat, efektivitas implementasi hukum internasional dalam tata kelola PLBN masih menghadapi berbagai persoalan. Berbagai instrumen internasional seperti Revised Kyoto Convention, International Health Regulations (IHR) 2005, United Nations Convention against Transnational Organized Crime (UNTOC), hingga Vienna Convention on Consular Relations (VCCR) 1963 mengatur kewajiban negara dalam pengawasan lintas batas, pelayanan keimigrasian, perlindungan kesehatan, dan kerja sama penegakan hukum internasional. Namun, implementasi norma-norma tersebut di Indonesia belum sepenuhnya terintegrasi dalam regulasi nasional maupun praktik administratif di lapangan (World Health Organization, 2005).</w:t>
      </w:r>
    </w:p>
    <w:p w14:paraId="1E26D96D" w14:textId="77777777" w:rsidR="00E660DC" w:rsidRPr="00A15E6D" w:rsidRDefault="00E660DC" w:rsidP="00A15E6D">
      <w:pPr>
        <w:spacing w:after="0" w:line="360" w:lineRule="auto"/>
        <w:ind w:firstLine="630"/>
        <w:jc w:val="both"/>
        <w:rPr>
          <w:rFonts w:ascii="Times New Roman" w:hAnsi="Times New Roman" w:cs="Times New Roman"/>
          <w:sz w:val="24"/>
          <w:szCs w:val="24"/>
        </w:rPr>
      </w:pPr>
      <w:r w:rsidRPr="00A15E6D">
        <w:rPr>
          <w:rFonts w:ascii="Times New Roman" w:hAnsi="Times New Roman" w:cs="Times New Roman"/>
          <w:sz w:val="24"/>
          <w:szCs w:val="24"/>
        </w:rPr>
        <w:t>Ketidakharmonisan regulasi tersebut terlihat dari masih adanya tumpang tindih kewenangan antarinstansi di kawasan perbatasan. Badan Nasional Pengelola Perbatasan (BNPP), Direktorat Jenderal Imigrasi, Bea Cukai, TNI, Polri, pemerintah daerah, serta kementerian teknis lainnya memiliki kewenangan yang saling berkaitan namun belum sepenuhnya terkoordinasi secara efektif. Kondisi ini menyebabkan lemahnya sinkronisasi kebijakan dan berpotensi menimbulkan ketidakpastian hukum dalam pelaksanaan pengawasan lintas batas (BNPP, 2026). Di sisi lain, perkembangan mobilitas manusia dan barang lintas negara juga meningkatkan risiko kejahatan transnasional seperti perdagangan manusia, penyelundupan narkotika, imigran ilegal, dan penyelundupan barang (Gokok et al., 2023).</w:t>
      </w:r>
    </w:p>
    <w:p w14:paraId="5564DE2B" w14:textId="19C4A8A9" w:rsidR="00E660DC" w:rsidRPr="00A15E6D" w:rsidRDefault="00E660DC" w:rsidP="00A15E6D">
      <w:pPr>
        <w:spacing w:after="0" w:line="360" w:lineRule="auto"/>
        <w:ind w:firstLine="630"/>
        <w:jc w:val="both"/>
        <w:rPr>
          <w:rFonts w:ascii="Times New Roman" w:hAnsi="Times New Roman" w:cs="Times New Roman"/>
          <w:sz w:val="24"/>
          <w:szCs w:val="24"/>
        </w:rPr>
      </w:pPr>
      <w:r w:rsidRPr="00A15E6D">
        <w:rPr>
          <w:rFonts w:ascii="Times New Roman" w:hAnsi="Times New Roman" w:cs="Times New Roman"/>
          <w:sz w:val="24"/>
          <w:szCs w:val="24"/>
        </w:rPr>
        <w:t>Salah satu contoh konkret dapat dilihat pada PLBN Motamasin di perbatasan Indonesia–Timor-Leste. Kawasan ini masih menghadapi berbagai persoalan, mulai dari sengketa batas wilayah, keterbatasan sarana pengawasan, hingga praktik perlintasan tidak resmi yang dilakukan masyarakat lintas batas. BNPP bahkan mengeluarkan standar operasional prosedur khusus terkait pembukaan portal di luar jam pelayanan karena tingginya dinamika sosial masyarakat perbatasan (BNPP, 2024). Kondisi tersebut menunjukkan bahwa pengelolaan PLBN tidak cukup hanya berorientasi pada pembangunan fisik, tetapi juga memerlukan harmonisasi hukum yang mampu menjawab realitas sosial dan kebutuhan keamanan perbatasan secara komprehensif.</w:t>
      </w:r>
    </w:p>
    <w:p w14:paraId="19ABEED7" w14:textId="77777777" w:rsidR="00E660DC" w:rsidRPr="00A15E6D" w:rsidRDefault="00E660DC" w:rsidP="00A15E6D">
      <w:pPr>
        <w:spacing w:after="0" w:line="360" w:lineRule="auto"/>
        <w:ind w:firstLine="630"/>
        <w:jc w:val="both"/>
        <w:rPr>
          <w:rFonts w:ascii="Times New Roman" w:hAnsi="Times New Roman" w:cs="Times New Roman"/>
          <w:sz w:val="24"/>
          <w:szCs w:val="24"/>
        </w:rPr>
      </w:pPr>
      <w:r w:rsidRPr="00A15E6D">
        <w:rPr>
          <w:rFonts w:ascii="Times New Roman" w:hAnsi="Times New Roman" w:cs="Times New Roman"/>
          <w:sz w:val="24"/>
          <w:szCs w:val="24"/>
        </w:rPr>
        <w:t>Di samping itu, implementasi kewajiban internasional juga berkaitan erat dengan mekanisme pembentukan dan keberlakuan perjanjian internasional dalam hukum nasional. Undang-Undang Nomor 24 Tahun 2000 tentang Perjanjian Internasional menjadi dasar hukum utama dalam pengesahan perjanjian internasional di Indonesia. Akan tetapi, keberadaan perjanjian internasional tidak selalu diikuti dengan harmonisasi regulasi teknis pada tingkat implementasi sehingga menimbulkan kesenjangan normatif antara norma internasional dan praktik nasional (Presiden Republik Indonesia, 2000). Bahkan, dalam beberapa kasus, instrumen kerja sama lintas batas masih berbentuk memorandum of understanding (MoU) yang kedudukannya tidak selalu memiliki kekuatan mengikat seperti perjanjian internasional formal (Setiyaningsih et al., 2020).</w:t>
      </w:r>
    </w:p>
    <w:p w14:paraId="44002BF5" w14:textId="28872966" w:rsidR="00E660DC" w:rsidRPr="00A15E6D" w:rsidRDefault="00E660DC" w:rsidP="00A15E6D">
      <w:pPr>
        <w:spacing w:after="0" w:line="360" w:lineRule="auto"/>
        <w:ind w:firstLine="630"/>
        <w:jc w:val="both"/>
        <w:rPr>
          <w:rFonts w:ascii="Times New Roman" w:hAnsi="Times New Roman" w:cs="Times New Roman"/>
          <w:sz w:val="24"/>
          <w:szCs w:val="24"/>
        </w:rPr>
      </w:pPr>
      <w:r w:rsidRPr="00A15E6D">
        <w:rPr>
          <w:rFonts w:ascii="Times New Roman" w:hAnsi="Times New Roman" w:cs="Times New Roman"/>
          <w:sz w:val="24"/>
          <w:szCs w:val="24"/>
        </w:rPr>
        <w:t>Kajian akademik mengenai PLBN dan hukum perbatasan Indonesia sejauh ini masih didominasi pendekatan deskriptif normatif yang hanya memetakan regulasi tanpa mengkaji secara mendalam kesenjangan implementasi hukum internasional dalam pengelolaan PLBN. Padahal, persoalan utama yang dihadapi Indonesia bukan terletak pada ketiadaan regulasi, melainkan pada disharmonisasi antara komitmen internasional dengan sistem hukum nasional dan praktik administratif di lapangan. Ketidaksinkronan tersebut pada akhirnya menciptakan grey area hukum yang membuka peluang terjadinya pelanggaran lintas batas serta melemahkan perlindungan hukum terhadap masyarakat perbatasan.</w:t>
      </w:r>
    </w:p>
    <w:p w14:paraId="71A2D54D" w14:textId="644BE4E6" w:rsidR="00E660DC" w:rsidRPr="00A15E6D" w:rsidRDefault="00E660DC" w:rsidP="00A15E6D">
      <w:pPr>
        <w:spacing w:after="0" w:line="360" w:lineRule="auto"/>
        <w:ind w:firstLine="630"/>
        <w:jc w:val="both"/>
        <w:rPr>
          <w:rFonts w:ascii="Times New Roman" w:hAnsi="Times New Roman" w:cs="Times New Roman"/>
          <w:sz w:val="24"/>
          <w:szCs w:val="24"/>
        </w:rPr>
      </w:pPr>
      <w:r w:rsidRPr="00A15E6D">
        <w:rPr>
          <w:rFonts w:ascii="Times New Roman" w:hAnsi="Times New Roman" w:cs="Times New Roman"/>
          <w:sz w:val="24"/>
          <w:szCs w:val="24"/>
        </w:rPr>
        <w:t>Selain itu, pendekatan hak asasi manusia dalam pengelolaan perbatasan juga belum menjadi perhatian utama. Padahal, kawasan perbatasan merupakan ruang interaksi manusia yang rentan terhadap pelanggaran hak-hak dasar, termasuk hak atas identitas, akses pelayanan publik, kesehatan, dan perlindungan hukum. Pemerintah sebenarnya telah menerbitkan Peraturan Menteri Hukum dan HAM Nomor 16 Tahun 2024 tentang Pedoman Pengarusutamaan Hak Asasi Manusia dalam Pembentukan Peraturan Perundang-undangan sebagai landasan integrasi HAM dalam kebijakan nasional (Kementerian Hukum dan Hak Asasi Manusia Republik Indonesia, 2024). Namun implementasinya dalam regulasi pengelolaan PLBN masih belum optimal.</w:t>
      </w:r>
    </w:p>
    <w:p w14:paraId="0EDDD7C6" w14:textId="77777777" w:rsidR="00E660DC" w:rsidRPr="00A15E6D" w:rsidRDefault="00E660DC" w:rsidP="00A15E6D">
      <w:pPr>
        <w:spacing w:after="0" w:line="360" w:lineRule="auto"/>
        <w:ind w:firstLine="630"/>
        <w:jc w:val="both"/>
        <w:rPr>
          <w:rFonts w:ascii="Times New Roman" w:hAnsi="Times New Roman" w:cs="Times New Roman"/>
          <w:sz w:val="24"/>
          <w:szCs w:val="24"/>
        </w:rPr>
      </w:pPr>
      <w:r w:rsidRPr="00A15E6D">
        <w:rPr>
          <w:rFonts w:ascii="Times New Roman" w:hAnsi="Times New Roman" w:cs="Times New Roman"/>
          <w:sz w:val="24"/>
          <w:szCs w:val="24"/>
        </w:rPr>
        <w:t>Di bidang keimigrasian, pemerintah juga telah memperbarui kerangka pengawasan melalui Peraturan Menteri Imigrasi dan Pemasyarakatan Nomor 2 Tahun 2025 tentang Pengawasan Keimigrasian dan Tindakan Administratif Keimigrasian. Regulasi ini menunjukkan upaya negara dalam memperkuat pengawasan terhadap lalu lintas orang di kawasan perbatasan (Kementerian Imigrasi dan Pemasyarakatan Republik Indonesia, 2025). Akan tetapi, penguatan regulasi sektoral belum sepenuhnya mampu menyelesaikan persoalan koordinasi lintas lembaga dan sinkronisasi dengan norma hukum internasional.</w:t>
      </w:r>
    </w:p>
    <w:p w14:paraId="1F084A87" w14:textId="77777777" w:rsidR="00E660DC" w:rsidRPr="00A15E6D" w:rsidRDefault="00E660DC" w:rsidP="00A15E6D">
      <w:pPr>
        <w:spacing w:after="0" w:line="360" w:lineRule="auto"/>
        <w:ind w:firstLine="630"/>
        <w:jc w:val="both"/>
        <w:rPr>
          <w:rFonts w:ascii="Times New Roman" w:hAnsi="Times New Roman" w:cs="Times New Roman"/>
          <w:sz w:val="24"/>
          <w:szCs w:val="24"/>
        </w:rPr>
      </w:pPr>
      <w:r w:rsidRPr="00A15E6D">
        <w:rPr>
          <w:rFonts w:ascii="Times New Roman" w:hAnsi="Times New Roman" w:cs="Times New Roman"/>
          <w:sz w:val="24"/>
          <w:szCs w:val="24"/>
        </w:rPr>
        <w:t>Berdasarkan uraian tersebut, penelitian ini memiliki kebaruan (novelty) dalam tiga aspek utama. Pertama, penelitian ini melakukan normative gap analysis secara sistematis terhadap kesenjangan antara kewajiban hukum internasional dan regulasi nasional terkait pengelolaan PLBN. Kedua, penelitian ini menggunakan pendekatan kasus (case approach) dengan menelaah kondisi konkret di PLBN Motamasin dan sengketa segmen batas Indonesia–Timor-Leste sebagai basis analisis empiris hukum. Ketiga, penelitian ini menawarkan model harmonisasi regulasi berbasis hierarki norma hukum internasional dan pendekatan desentralisasi asimetris guna memperkuat efektivitas tata kelola kawasan perbatasan Indonesia.</w:t>
      </w:r>
    </w:p>
    <w:p w14:paraId="508AEA58" w14:textId="4E994A42" w:rsidR="00BA245F" w:rsidRDefault="00E660DC" w:rsidP="00A15E6D">
      <w:pPr>
        <w:spacing w:after="0" w:line="360" w:lineRule="auto"/>
        <w:ind w:firstLine="630"/>
        <w:jc w:val="both"/>
        <w:rPr>
          <w:rFonts w:ascii="Times New Roman" w:hAnsi="Times New Roman" w:cs="Times New Roman"/>
          <w:sz w:val="24"/>
          <w:szCs w:val="24"/>
        </w:rPr>
      </w:pPr>
      <w:r w:rsidRPr="00A15E6D">
        <w:rPr>
          <w:rFonts w:ascii="Times New Roman" w:hAnsi="Times New Roman" w:cs="Times New Roman"/>
          <w:sz w:val="24"/>
          <w:szCs w:val="24"/>
        </w:rPr>
        <w:t>Dengan demikian, rumusan masalah dalam penelitian ini difokuskan pada dua pertanyaan utama, yaitu: (1) bagaimana kesenjangan normatif antara komitmen hukum internasional Indonesia dengan implementasi aktual pengelolaan PLBN di wilayah perbatasan darat; dan (2) faktor-faktor hukum apa yang menyebabkan disharmonisasi regulasi dalam pengelolaan PLBN serta bagaimana solusi harmonisasinya berdasarkan prinsip-prinsip hukum internasional yang berlaku.</w:t>
      </w:r>
    </w:p>
    <w:p w14:paraId="54C37F8A" w14:textId="77777777" w:rsidR="00A15E6D" w:rsidRPr="00A15E6D" w:rsidRDefault="00A15E6D" w:rsidP="00A15E6D">
      <w:pPr>
        <w:spacing w:after="0" w:line="360" w:lineRule="auto"/>
        <w:ind w:firstLine="630"/>
        <w:jc w:val="both"/>
        <w:rPr>
          <w:rFonts w:ascii="Times New Roman" w:hAnsi="Times New Roman" w:cs="Times New Roman"/>
          <w:sz w:val="24"/>
          <w:szCs w:val="24"/>
        </w:rPr>
      </w:pPr>
    </w:p>
    <w:p w14:paraId="33A81E68" w14:textId="77777777" w:rsidR="003C085F" w:rsidRPr="00A15E6D" w:rsidRDefault="00A444B1" w:rsidP="00A15E6D">
      <w:pPr>
        <w:numPr>
          <w:ilvl w:val="0"/>
          <w:numId w:val="2"/>
        </w:numPr>
        <w:pBdr>
          <w:top w:val="nil"/>
          <w:left w:val="nil"/>
          <w:bottom w:val="nil"/>
          <w:right w:val="nil"/>
          <w:between w:val="nil"/>
        </w:pBdr>
        <w:spacing w:after="0" w:line="360" w:lineRule="auto"/>
        <w:ind w:left="360"/>
        <w:rPr>
          <w:rFonts w:ascii="Times New Roman" w:eastAsia="Times New Roman" w:hAnsi="Times New Roman" w:cs="Times New Roman"/>
          <w:b/>
          <w:bCs/>
          <w:color w:val="000000"/>
          <w:sz w:val="24"/>
          <w:szCs w:val="24"/>
        </w:rPr>
      </w:pPr>
      <w:r w:rsidRPr="00A15E6D">
        <w:rPr>
          <w:rFonts w:ascii="Times New Roman" w:eastAsia="Times New Roman" w:hAnsi="Times New Roman" w:cs="Times New Roman"/>
          <w:b/>
          <w:bCs/>
          <w:color w:val="000000"/>
          <w:sz w:val="24"/>
          <w:szCs w:val="24"/>
        </w:rPr>
        <w:t xml:space="preserve">KAJIAN TEORITIS </w:t>
      </w:r>
    </w:p>
    <w:p w14:paraId="43C5B601" w14:textId="68181602" w:rsidR="00EA7B44" w:rsidRPr="00A15E6D" w:rsidRDefault="00EA7B44" w:rsidP="00A15E6D">
      <w:pPr>
        <w:pBdr>
          <w:top w:val="nil"/>
          <w:left w:val="nil"/>
          <w:bottom w:val="nil"/>
          <w:right w:val="nil"/>
          <w:between w:val="nil"/>
        </w:pBdr>
        <w:spacing w:after="0" w:line="360" w:lineRule="auto"/>
        <w:rPr>
          <w:rFonts w:ascii="Times New Roman" w:eastAsia="Times New Roman" w:hAnsi="Times New Roman" w:cs="Times New Roman"/>
          <w:b/>
          <w:bCs/>
          <w:color w:val="000000"/>
          <w:sz w:val="24"/>
          <w:szCs w:val="24"/>
        </w:rPr>
      </w:pPr>
      <w:r w:rsidRPr="00A15E6D">
        <w:rPr>
          <w:rFonts w:ascii="Times New Roman" w:eastAsia="Times New Roman" w:hAnsi="Times New Roman" w:cs="Times New Roman"/>
          <w:b/>
          <w:bCs/>
          <w:color w:val="000000"/>
          <w:sz w:val="24"/>
          <w:szCs w:val="24"/>
        </w:rPr>
        <w:t xml:space="preserve">Teori Kedaulatan Negara Jean Bodin </w:t>
      </w:r>
    </w:p>
    <w:p w14:paraId="4534D688" w14:textId="329B6B52" w:rsidR="00B22A77" w:rsidRPr="00A15E6D" w:rsidRDefault="00EA7B44" w:rsidP="00A15E6D">
      <w:pPr>
        <w:spacing w:after="0" w:line="360" w:lineRule="auto"/>
        <w:ind w:firstLine="630"/>
        <w:jc w:val="both"/>
        <w:rPr>
          <w:rFonts w:ascii="Times New Roman" w:eastAsia="Times New Roman" w:hAnsi="Times New Roman" w:cs="Times New Roman"/>
          <w:color w:val="000000"/>
          <w:sz w:val="24"/>
          <w:szCs w:val="24"/>
        </w:rPr>
      </w:pPr>
      <w:r w:rsidRPr="00A15E6D">
        <w:rPr>
          <w:rFonts w:ascii="Times New Roman" w:eastAsia="Times New Roman" w:hAnsi="Times New Roman" w:cs="Times New Roman"/>
          <w:color w:val="000000"/>
          <w:sz w:val="24"/>
          <w:szCs w:val="24"/>
        </w:rPr>
        <w:t xml:space="preserve">Teori kedaulatan negara menjadi fondasi filosofis paling mendasar dalam penelitian pengelolaan PLBN. Konsep ini pertama kali dirumuskan secara sistematis oleh Jean Bodin dalam </w:t>
      </w:r>
      <w:r w:rsidRPr="00A15E6D">
        <w:rPr>
          <w:rFonts w:ascii="Times New Roman" w:hAnsi="Times New Roman" w:cs="Times New Roman"/>
          <w:sz w:val="24"/>
          <w:szCs w:val="24"/>
        </w:rPr>
        <w:t>karyanya</w:t>
      </w:r>
      <w:r w:rsidRPr="00A15E6D">
        <w:rPr>
          <w:rFonts w:ascii="Times New Roman" w:eastAsia="Times New Roman" w:hAnsi="Times New Roman" w:cs="Times New Roman"/>
          <w:color w:val="000000"/>
          <w:sz w:val="24"/>
          <w:szCs w:val="24"/>
        </w:rPr>
        <w:t xml:space="preserve"> </w:t>
      </w:r>
      <w:r w:rsidRPr="00A15E6D">
        <w:rPr>
          <w:rFonts w:ascii="Times New Roman" w:eastAsia="Times New Roman" w:hAnsi="Times New Roman" w:cs="Times New Roman"/>
          <w:i/>
          <w:iCs/>
          <w:color w:val="000000"/>
          <w:sz w:val="24"/>
          <w:szCs w:val="24"/>
        </w:rPr>
        <w:t>Les Six Livres de la République</w:t>
      </w:r>
      <w:r w:rsidRPr="00A15E6D">
        <w:rPr>
          <w:rFonts w:ascii="Times New Roman" w:eastAsia="Times New Roman" w:hAnsi="Times New Roman" w:cs="Times New Roman"/>
          <w:color w:val="000000"/>
          <w:sz w:val="24"/>
          <w:szCs w:val="24"/>
        </w:rPr>
        <w:t xml:space="preserve"> (1576), yang mendefinisikan kedaulatan sebagai kekuasaan tertinggi yang bersifat tunggal, asli, abadi, dan tidak dapat dibagi-bagikan kepada pihak lain dalam suatu negara. Dalam perkembangannya, konsep ini bertransformasi dari yang bersifat absolut menjadi lebih relatif dan kontekstual dalam hukum internasional modern. Kedaulatan kini dipahami dalam dua dimensi yang saling melengkapi: kedaulatan ke dalam (</w:t>
      </w:r>
      <w:r w:rsidRPr="00A15E6D">
        <w:rPr>
          <w:rFonts w:ascii="Times New Roman" w:eastAsia="Times New Roman" w:hAnsi="Times New Roman" w:cs="Times New Roman"/>
          <w:i/>
          <w:iCs/>
          <w:color w:val="000000"/>
          <w:sz w:val="24"/>
          <w:szCs w:val="24"/>
        </w:rPr>
        <w:t>internal sovereignty</w:t>
      </w:r>
      <w:r w:rsidRPr="00A15E6D">
        <w:rPr>
          <w:rFonts w:ascii="Times New Roman" w:eastAsia="Times New Roman" w:hAnsi="Times New Roman" w:cs="Times New Roman"/>
          <w:color w:val="000000"/>
          <w:sz w:val="24"/>
          <w:szCs w:val="24"/>
        </w:rPr>
        <w:t>) sebagai kewenangan tertinggi mengatur urusan dalam negeri, dan kedaulatan ke luar (</w:t>
      </w:r>
      <w:r w:rsidRPr="00A15E6D">
        <w:rPr>
          <w:rFonts w:ascii="Times New Roman" w:eastAsia="Times New Roman" w:hAnsi="Times New Roman" w:cs="Times New Roman"/>
          <w:i/>
          <w:iCs/>
          <w:color w:val="000000"/>
          <w:sz w:val="24"/>
          <w:szCs w:val="24"/>
        </w:rPr>
        <w:t xml:space="preserve">external sovereignty) </w:t>
      </w:r>
      <w:r w:rsidRPr="00A15E6D">
        <w:rPr>
          <w:rFonts w:ascii="Times New Roman" w:eastAsia="Times New Roman" w:hAnsi="Times New Roman" w:cs="Times New Roman"/>
          <w:color w:val="000000"/>
          <w:sz w:val="24"/>
          <w:szCs w:val="24"/>
        </w:rPr>
        <w:t xml:space="preserve">sebagai kesetaraan posisi negara di hadapan masyarakat internasional, yang keduanya dijamin oleh Pasal 2 ayat (1) Piagam PBB. Relevansinya terhadap PLBN sangat langsung: setiap kebijakan pengelolaan pos lintas batas mulai dari prosedur CIQS hingga penyelesaian sengketa wilayah merupakan ekspresi konkret dari kedaulatan negara yang harus dijalankan sesuai standar hukum internasional. Selain itu, konsep </w:t>
      </w:r>
      <w:r w:rsidRPr="00A15E6D">
        <w:rPr>
          <w:rFonts w:ascii="Times New Roman" w:eastAsia="Times New Roman" w:hAnsi="Times New Roman" w:cs="Times New Roman"/>
          <w:i/>
          <w:iCs/>
          <w:color w:val="000000"/>
          <w:sz w:val="24"/>
          <w:szCs w:val="24"/>
        </w:rPr>
        <w:t>effective control</w:t>
      </w:r>
      <w:r w:rsidRPr="00A15E6D">
        <w:rPr>
          <w:rFonts w:ascii="Times New Roman" w:eastAsia="Times New Roman" w:hAnsi="Times New Roman" w:cs="Times New Roman"/>
          <w:color w:val="000000"/>
          <w:sz w:val="24"/>
          <w:szCs w:val="24"/>
        </w:rPr>
        <w:t xml:space="preserve"> yang berakar dari teori ini menjadikan operasional PLBN yang konsisten sebagai salah satu bukti pelaksanaan kedaulatan yang dapat memperkuat posisi hukum Indonesia dalam negosiasi batas wilayah, khususnya di segmen Noel Besi Citrana dan Bidjael Sunan Oben dengan Timor-Leste.</w:t>
      </w:r>
    </w:p>
    <w:p w14:paraId="4A464CA3" w14:textId="5E270EE5" w:rsidR="00902771" w:rsidRPr="00A15E6D" w:rsidRDefault="00902771" w:rsidP="00A15E6D">
      <w:pPr>
        <w:pBdr>
          <w:top w:val="nil"/>
          <w:left w:val="nil"/>
          <w:bottom w:val="nil"/>
          <w:right w:val="nil"/>
          <w:between w:val="nil"/>
        </w:pBdr>
        <w:spacing w:after="0" w:line="360" w:lineRule="auto"/>
        <w:jc w:val="both"/>
        <w:rPr>
          <w:rFonts w:ascii="Times New Roman" w:eastAsia="Times New Roman" w:hAnsi="Times New Roman" w:cs="Times New Roman"/>
          <w:b/>
          <w:bCs/>
          <w:color w:val="000000"/>
          <w:sz w:val="24"/>
          <w:szCs w:val="24"/>
        </w:rPr>
      </w:pPr>
      <w:r w:rsidRPr="00A15E6D">
        <w:rPr>
          <w:rFonts w:ascii="Times New Roman" w:eastAsia="Times New Roman" w:hAnsi="Times New Roman" w:cs="Times New Roman"/>
          <w:b/>
          <w:bCs/>
          <w:color w:val="000000"/>
          <w:sz w:val="24"/>
          <w:szCs w:val="24"/>
        </w:rPr>
        <w:t xml:space="preserve">Prinsip Uti Possidetis Juris Kasus Burkina Faso v. Mali (1986) </w:t>
      </w:r>
    </w:p>
    <w:p w14:paraId="7E1CC50B" w14:textId="70030738" w:rsidR="00EA7B44" w:rsidRPr="00A15E6D" w:rsidRDefault="00902771" w:rsidP="00A15E6D">
      <w:pPr>
        <w:spacing w:after="0" w:line="360" w:lineRule="auto"/>
        <w:ind w:firstLine="630"/>
        <w:jc w:val="both"/>
        <w:rPr>
          <w:rFonts w:ascii="Times New Roman" w:eastAsia="Times New Roman" w:hAnsi="Times New Roman" w:cs="Times New Roman"/>
          <w:color w:val="000000"/>
          <w:sz w:val="24"/>
          <w:szCs w:val="24"/>
        </w:rPr>
      </w:pPr>
      <w:r w:rsidRPr="00A15E6D">
        <w:rPr>
          <w:rFonts w:ascii="Times New Roman" w:eastAsia="Times New Roman" w:hAnsi="Times New Roman" w:cs="Times New Roman"/>
          <w:color w:val="000000"/>
          <w:sz w:val="24"/>
          <w:szCs w:val="24"/>
        </w:rPr>
        <w:t xml:space="preserve">Prinsip uti </w:t>
      </w:r>
      <w:r w:rsidRPr="00A15E6D">
        <w:rPr>
          <w:rFonts w:ascii="Times New Roman" w:hAnsi="Times New Roman" w:cs="Times New Roman"/>
          <w:sz w:val="24"/>
          <w:szCs w:val="24"/>
        </w:rPr>
        <w:t>possidetis</w:t>
      </w:r>
      <w:r w:rsidRPr="00A15E6D">
        <w:rPr>
          <w:rFonts w:ascii="Times New Roman" w:eastAsia="Times New Roman" w:hAnsi="Times New Roman" w:cs="Times New Roman"/>
          <w:color w:val="000000"/>
          <w:sz w:val="24"/>
          <w:szCs w:val="24"/>
        </w:rPr>
        <w:t xml:space="preserve"> juris merupakan salah satu pilar utama hukum internasional dalam penetapan batas wilayah negara. Secara harfiah berasal dari frasa Latin "</w:t>
      </w:r>
      <w:r w:rsidRPr="00A15E6D">
        <w:rPr>
          <w:rFonts w:ascii="Times New Roman" w:eastAsia="Times New Roman" w:hAnsi="Times New Roman" w:cs="Times New Roman"/>
          <w:i/>
          <w:iCs/>
          <w:color w:val="000000"/>
          <w:sz w:val="24"/>
          <w:szCs w:val="24"/>
        </w:rPr>
        <w:t>ita possideatis</w:t>
      </w:r>
      <w:r w:rsidRPr="00A15E6D">
        <w:rPr>
          <w:rFonts w:ascii="Times New Roman" w:eastAsia="Times New Roman" w:hAnsi="Times New Roman" w:cs="Times New Roman"/>
          <w:color w:val="000000"/>
          <w:sz w:val="24"/>
          <w:szCs w:val="24"/>
        </w:rPr>
        <w:t xml:space="preserve">" yang berarti "Anda dapat tetap memiliki apa yang Anda miliki," prinsip ini mengharuskan negara-negara yang baru merdeka untuk mengakui batas-batas administratif kolonial yang berlaku pada saat kemerdekaan sebagai batas negara yang sah dan mengikat secara hukum internasional. Otoritas prinsip ini dalam hukum internasional modern dikukuhkan secara tegas oleh Mahkamah Internasional dalam kasus Burkina Faso v. Mali tahun 1986, di mana </w:t>
      </w:r>
      <w:r w:rsidRPr="00A15E6D">
        <w:rPr>
          <w:rFonts w:ascii="Times New Roman" w:eastAsia="Times New Roman" w:hAnsi="Times New Roman" w:cs="Times New Roman"/>
          <w:i/>
          <w:iCs/>
          <w:color w:val="000000"/>
          <w:sz w:val="24"/>
          <w:szCs w:val="24"/>
        </w:rPr>
        <w:t>Provisional Agreement</w:t>
      </w:r>
      <w:r w:rsidRPr="00A15E6D">
        <w:rPr>
          <w:rFonts w:ascii="Times New Roman" w:eastAsia="Times New Roman" w:hAnsi="Times New Roman" w:cs="Times New Roman"/>
          <w:color w:val="000000"/>
          <w:sz w:val="24"/>
          <w:szCs w:val="24"/>
        </w:rPr>
        <w:t xml:space="preserve"> 2005 yang lahir dari proses negosiasi serupa menyisakan segmen yang belum terselesaikan, yakni </w:t>
      </w:r>
      <w:r w:rsidRPr="00A15E6D">
        <w:rPr>
          <w:rFonts w:ascii="Times New Roman" w:eastAsia="Times New Roman" w:hAnsi="Times New Roman" w:cs="Times New Roman"/>
          <w:i/>
          <w:iCs/>
          <w:color w:val="000000"/>
          <w:sz w:val="24"/>
          <w:szCs w:val="24"/>
        </w:rPr>
        <w:t>Bijaelsunan-Oben, Noelbesi-Citrana</w:t>
      </w:r>
      <w:r w:rsidRPr="00A15E6D">
        <w:rPr>
          <w:rFonts w:ascii="Times New Roman" w:eastAsia="Times New Roman" w:hAnsi="Times New Roman" w:cs="Times New Roman"/>
          <w:color w:val="000000"/>
          <w:sz w:val="24"/>
          <w:szCs w:val="24"/>
        </w:rPr>
        <w:t xml:space="preserve">, dan </w:t>
      </w:r>
      <w:r w:rsidRPr="00A15E6D">
        <w:rPr>
          <w:rFonts w:ascii="Times New Roman" w:eastAsia="Times New Roman" w:hAnsi="Times New Roman" w:cs="Times New Roman"/>
          <w:i/>
          <w:iCs/>
          <w:color w:val="000000"/>
          <w:sz w:val="24"/>
          <w:szCs w:val="24"/>
        </w:rPr>
        <w:t>Dilumil-Memo</w:t>
      </w:r>
      <w:r w:rsidRPr="00A15E6D">
        <w:rPr>
          <w:rFonts w:ascii="Times New Roman" w:eastAsia="Times New Roman" w:hAnsi="Times New Roman" w:cs="Times New Roman"/>
          <w:color w:val="000000"/>
          <w:sz w:val="24"/>
          <w:szCs w:val="24"/>
        </w:rPr>
        <w:t xml:space="preserve">. prinsip ini dalam penelitian ini sangat nyata: batas darat Indonesia dengan Malaysia di Kalimantan mengacu pada Konvensi Belanda-Inggris 1891, sedangkan batas dengan Timor-Leste merujuk pada perjanjian Belanda-Portugal antara tahun 1859 hingga 1904. Ambiguitas interpretasi atas perjanjian-perjanjian kolonial itulah yang menjadi akar persoalan hukum di segmen-segmen yang belum terselesaikan tersebut. Di samping prinsip ini, kerangka </w:t>
      </w:r>
      <w:r w:rsidRPr="00A15E6D">
        <w:rPr>
          <w:rFonts w:ascii="Times New Roman" w:eastAsia="Times New Roman" w:hAnsi="Times New Roman" w:cs="Times New Roman"/>
          <w:i/>
          <w:iCs/>
          <w:color w:val="000000"/>
          <w:sz w:val="24"/>
          <w:szCs w:val="24"/>
        </w:rPr>
        <w:t>Vienna Convention on the Law of Treaties</w:t>
      </w:r>
      <w:r w:rsidRPr="00A15E6D">
        <w:rPr>
          <w:rFonts w:ascii="Times New Roman" w:eastAsia="Times New Roman" w:hAnsi="Times New Roman" w:cs="Times New Roman"/>
          <w:color w:val="000000"/>
          <w:sz w:val="24"/>
          <w:szCs w:val="24"/>
        </w:rPr>
        <w:t xml:space="preserve"> 1969 (VCLT) dan doktrin pacta sunt servanda-nya mewajibkan Indonesia untuk melaksanakan seluruh perjanjian yang telah ditandatanganinya dengan itikad baik, sehingga menjadi landasan hukum bagi tuntutan konsistensi antara komitmen internasional dan implementasi domestik pengelolaan PLBN.</w:t>
      </w:r>
    </w:p>
    <w:p w14:paraId="125E05DC" w14:textId="6473734F" w:rsidR="00902771" w:rsidRPr="00A15E6D" w:rsidRDefault="00902771" w:rsidP="00A15E6D">
      <w:pPr>
        <w:pBdr>
          <w:top w:val="nil"/>
          <w:left w:val="nil"/>
          <w:bottom w:val="nil"/>
          <w:right w:val="nil"/>
          <w:between w:val="nil"/>
        </w:pBdr>
        <w:spacing w:after="0" w:line="360" w:lineRule="auto"/>
        <w:jc w:val="both"/>
        <w:rPr>
          <w:rFonts w:ascii="Times New Roman" w:eastAsia="Times New Roman" w:hAnsi="Times New Roman" w:cs="Times New Roman"/>
          <w:b/>
          <w:bCs/>
          <w:color w:val="000000"/>
          <w:sz w:val="24"/>
          <w:szCs w:val="24"/>
        </w:rPr>
      </w:pPr>
      <w:r w:rsidRPr="00A15E6D">
        <w:rPr>
          <w:rFonts w:ascii="Times New Roman" w:eastAsia="Times New Roman" w:hAnsi="Times New Roman" w:cs="Times New Roman"/>
          <w:b/>
          <w:bCs/>
          <w:color w:val="000000"/>
          <w:sz w:val="24"/>
          <w:szCs w:val="24"/>
        </w:rPr>
        <w:t>Peran BNPP dalam Tata Kelola PLBN</w:t>
      </w:r>
    </w:p>
    <w:p w14:paraId="3C137D4C" w14:textId="77777777" w:rsidR="00902771" w:rsidRPr="00A15E6D" w:rsidRDefault="00902771" w:rsidP="00A15E6D">
      <w:pPr>
        <w:spacing w:after="0" w:line="360" w:lineRule="auto"/>
        <w:ind w:firstLine="630"/>
        <w:jc w:val="both"/>
        <w:rPr>
          <w:rFonts w:ascii="Times New Roman" w:eastAsia="Times New Roman" w:hAnsi="Times New Roman" w:cs="Times New Roman"/>
          <w:color w:val="000000"/>
          <w:sz w:val="24"/>
          <w:szCs w:val="24"/>
        </w:rPr>
      </w:pPr>
      <w:r w:rsidRPr="00A15E6D">
        <w:rPr>
          <w:rFonts w:ascii="Times New Roman" w:eastAsia="Times New Roman" w:hAnsi="Times New Roman" w:cs="Times New Roman"/>
          <w:color w:val="000000"/>
          <w:sz w:val="24"/>
          <w:szCs w:val="24"/>
        </w:rPr>
        <w:t>Badan Nasional Pengelola Perbatasan (BNPP) merupakan lembaga yang dibentuk berdasarkan UU No. 43 Tahun 2008 dan dioperasionalkan melalui Perpres No. 12 Tahun 2010 yang kemudian diperbarui dengan Perpres No. 44 Tahun 2017, dengan kedudukan sebagai koordinator pengelolaan perbatasan negara di tingkat pusat. Berdasarkan informasi resmi dari laman BNPP RI (bnpp.go.id), lembaga ini secara aktif menjalankan fungsi koordinasi lintas kementerian dalam pengelolaan PLBN, termasuk percepatan penataan ruang kawasan perbatasan seperti eks OBP Simantipal dan Pulau Sebatik, serta menjaga hubungan diplomatik dengan negara-negara tetangga termasuk Timor-Leste.  (bnpp) Namun, penelitian ini mengidentifikasi kelemahan struktural yang kritis: BNPP hanya memiliki kewenangan koordinatif tanpa kewenangan eksekutif langsung, sehingga tidak dapat memaksakan harmonisasi lintas sektoral dalam sistem CIQS kepada masing-masing kementerian teknis. Aspek keimigrasian tetap berada di bawah Ditjen Imigrasi Kemenkumham, kepabeanan di bawah Ditjen Bea Cukai Kemenkeu, karantina di bawah kementerian terkait, dan keamanan di bawah TNI/Polri. Fragmentasi kelembagaan inilah yang menjadi salah satu faktor utama disharmonisasi regulasi PLBN. Oleh karena itu, reformasi yang memberikan BNPP kewenangan eksekutif yang lebih kuat menjadi rekomendasi mendesak dalam penelitian ini.</w:t>
      </w:r>
    </w:p>
    <w:p w14:paraId="52BAA52C" w14:textId="3433D954" w:rsidR="00902771" w:rsidRPr="00A15E6D" w:rsidRDefault="00902771" w:rsidP="00A15E6D">
      <w:pPr>
        <w:pBdr>
          <w:top w:val="nil"/>
          <w:left w:val="nil"/>
          <w:bottom w:val="nil"/>
          <w:right w:val="nil"/>
          <w:between w:val="nil"/>
        </w:pBdr>
        <w:spacing w:after="0" w:line="360" w:lineRule="auto"/>
        <w:jc w:val="both"/>
        <w:rPr>
          <w:rFonts w:ascii="Times New Roman" w:eastAsia="Times New Roman" w:hAnsi="Times New Roman" w:cs="Times New Roman"/>
          <w:b/>
          <w:bCs/>
          <w:color w:val="000000"/>
          <w:sz w:val="24"/>
          <w:szCs w:val="24"/>
          <w:lang w:val="en-US"/>
        </w:rPr>
      </w:pPr>
      <w:r w:rsidRPr="00A15E6D">
        <w:rPr>
          <w:rFonts w:ascii="Times New Roman" w:eastAsia="Times New Roman" w:hAnsi="Times New Roman" w:cs="Times New Roman"/>
          <w:b/>
          <w:bCs/>
          <w:color w:val="000000"/>
          <w:sz w:val="24"/>
          <w:szCs w:val="24"/>
        </w:rPr>
        <w:t>UNTOC 2000 Konvensi Palerm</w:t>
      </w:r>
      <w:r w:rsidRPr="00A15E6D">
        <w:rPr>
          <w:rFonts w:ascii="Times New Roman" w:eastAsia="Times New Roman" w:hAnsi="Times New Roman" w:cs="Times New Roman"/>
          <w:b/>
          <w:bCs/>
          <w:color w:val="000000"/>
          <w:sz w:val="24"/>
          <w:szCs w:val="24"/>
          <w:lang w:val="en-US"/>
        </w:rPr>
        <w:t>o</w:t>
      </w:r>
    </w:p>
    <w:p w14:paraId="5D5F7DA5" w14:textId="0BEB5B8A" w:rsidR="00902771" w:rsidRPr="00A15E6D" w:rsidRDefault="00902771" w:rsidP="00A15E6D">
      <w:pPr>
        <w:spacing w:after="0" w:line="360" w:lineRule="auto"/>
        <w:ind w:firstLine="630"/>
        <w:jc w:val="both"/>
        <w:rPr>
          <w:rFonts w:ascii="Times New Roman" w:eastAsia="Times New Roman" w:hAnsi="Times New Roman" w:cs="Times New Roman"/>
          <w:color w:val="000000"/>
          <w:sz w:val="24"/>
          <w:szCs w:val="24"/>
        </w:rPr>
      </w:pPr>
      <w:r w:rsidRPr="00A15E6D">
        <w:rPr>
          <w:rFonts w:ascii="Times New Roman" w:eastAsia="Times New Roman" w:hAnsi="Times New Roman" w:cs="Times New Roman"/>
          <w:color w:val="000000"/>
          <w:sz w:val="24"/>
          <w:szCs w:val="24"/>
        </w:rPr>
        <w:t>UNTOC atau Konvensi Palermo diadopsi melalui Resolusi Majelis Umum PBB No. 55/25 pada 15 November 2000 dan merupakan instrumen internasional utama dalam pemberantasan kejahatan lintas batas terorganisasi.</w:t>
      </w:r>
      <w:r w:rsidRPr="00A15E6D">
        <w:rPr>
          <w:rFonts w:ascii="Times New Roman" w:eastAsia="Times New Roman" w:hAnsi="Times New Roman" w:cs="Times New Roman"/>
          <w:color w:val="000000"/>
          <w:sz w:val="24"/>
          <w:szCs w:val="24"/>
          <w:lang w:val="en-US"/>
        </w:rPr>
        <w:t xml:space="preserve"> </w:t>
      </w:r>
      <w:r w:rsidRPr="00A15E6D">
        <w:rPr>
          <w:rFonts w:ascii="Times New Roman" w:eastAsia="Times New Roman" w:hAnsi="Times New Roman" w:cs="Times New Roman"/>
          <w:color w:val="000000"/>
          <w:sz w:val="24"/>
          <w:szCs w:val="24"/>
        </w:rPr>
        <w:t xml:space="preserve">(UNODC) Konvensi yang juga dikenal sebagai </w:t>
      </w:r>
      <w:r w:rsidRPr="00A15E6D">
        <w:rPr>
          <w:rFonts w:ascii="Times New Roman" w:eastAsia="Times New Roman" w:hAnsi="Times New Roman" w:cs="Times New Roman"/>
          <w:i/>
          <w:iCs/>
          <w:color w:val="000000"/>
          <w:sz w:val="24"/>
          <w:szCs w:val="24"/>
        </w:rPr>
        <w:t>Palermo Convention</w:t>
      </w:r>
      <w:r w:rsidRPr="00A15E6D">
        <w:rPr>
          <w:rFonts w:ascii="Times New Roman" w:eastAsia="Times New Roman" w:hAnsi="Times New Roman" w:cs="Times New Roman"/>
          <w:color w:val="000000"/>
          <w:sz w:val="24"/>
          <w:szCs w:val="24"/>
        </w:rPr>
        <w:t xml:space="preserve"> ini adalah satu-satunya instrumen hukum global yang mengikat secara hukum, di mana pemerintah berkomitmen untuk bertindak dan bekerja sama melawan kejahatan terorganisasi, dan telah diratifikasi oleh 192 negara pihak menjadikannya salah satu konvensi PBB yang paling banyak diratifikasi.  (UNODC) Indonesia telah meratifikasi UNTOC melalui UU No. 5 Tahun 2009, yang berarti Indonesia terikat kewajiban untuk mengkriminalisasi penyelundupan migran (</w:t>
      </w:r>
      <w:r w:rsidRPr="00A15E6D">
        <w:rPr>
          <w:rFonts w:ascii="Times New Roman" w:eastAsia="Times New Roman" w:hAnsi="Times New Roman" w:cs="Times New Roman"/>
          <w:i/>
          <w:iCs/>
          <w:color w:val="000000"/>
          <w:sz w:val="24"/>
          <w:szCs w:val="24"/>
        </w:rPr>
        <w:t>smuggling of migrants</w:t>
      </w:r>
      <w:r w:rsidRPr="00A15E6D">
        <w:rPr>
          <w:rFonts w:ascii="Times New Roman" w:eastAsia="Times New Roman" w:hAnsi="Times New Roman" w:cs="Times New Roman"/>
          <w:color w:val="000000"/>
          <w:sz w:val="24"/>
          <w:szCs w:val="24"/>
        </w:rPr>
        <w:t>), membangun mekanisme kerja sama intelijen lintas batas, dan memperkuat penegakan hukum bersama dengan negara-negara tetangga. Relevansi UNTOC terhadap penelitian ini sangat konkret: praktik pelintas batas ilegal yang masif melalui "jalan tikus" di sekitar PLBN Motamasin, yang difasilitasi oleh ketiadaan perjanjian bilateral yang memadai antara Indonesia dan Timor-Leste, secara teknis dapat dikategorikan sebagai pelanggaran terhadap protokol penyelundupan migran UNTOC. Namun, penerapan ketentuan ini memerlukan koordinasi bilateral yang kuat dengan Timor-Leste yang juga harus mengharmonisasikan hukum domestiknya dengan UNTOC sesuatu yang belum terwujud secara efektif hingga saat ini.</w:t>
      </w:r>
    </w:p>
    <w:p w14:paraId="33641C07" w14:textId="59111230" w:rsidR="00902771" w:rsidRPr="00A15E6D" w:rsidRDefault="00902771" w:rsidP="00A15E6D">
      <w:pPr>
        <w:pBdr>
          <w:top w:val="nil"/>
          <w:left w:val="nil"/>
          <w:bottom w:val="nil"/>
          <w:right w:val="nil"/>
          <w:between w:val="nil"/>
        </w:pBdr>
        <w:spacing w:after="0" w:line="360" w:lineRule="auto"/>
        <w:jc w:val="both"/>
        <w:rPr>
          <w:rFonts w:ascii="Times New Roman" w:eastAsia="Times New Roman" w:hAnsi="Times New Roman" w:cs="Times New Roman"/>
          <w:b/>
          <w:bCs/>
          <w:color w:val="000000"/>
          <w:sz w:val="24"/>
          <w:szCs w:val="24"/>
        </w:rPr>
      </w:pPr>
      <w:r w:rsidRPr="00A15E6D">
        <w:rPr>
          <w:rFonts w:ascii="Times New Roman" w:eastAsia="Times New Roman" w:hAnsi="Times New Roman" w:cs="Times New Roman"/>
          <w:b/>
          <w:bCs/>
          <w:color w:val="000000"/>
          <w:sz w:val="24"/>
          <w:szCs w:val="24"/>
        </w:rPr>
        <w:t>UU No. 43 Tahun 2008 tentang Wilayah Negara (Sumber 5)</w:t>
      </w:r>
    </w:p>
    <w:p w14:paraId="22940067" w14:textId="6D8443C4" w:rsidR="00902771" w:rsidRPr="00A15E6D" w:rsidRDefault="00902771" w:rsidP="00A15E6D">
      <w:pPr>
        <w:spacing w:after="0" w:line="360" w:lineRule="auto"/>
        <w:ind w:firstLine="630"/>
        <w:jc w:val="both"/>
        <w:rPr>
          <w:rFonts w:ascii="Times New Roman" w:eastAsia="Times New Roman" w:hAnsi="Times New Roman" w:cs="Times New Roman"/>
          <w:color w:val="000000"/>
          <w:sz w:val="24"/>
          <w:szCs w:val="24"/>
        </w:rPr>
      </w:pPr>
      <w:r w:rsidRPr="00A15E6D">
        <w:rPr>
          <w:rFonts w:ascii="Times New Roman" w:eastAsia="Times New Roman" w:hAnsi="Times New Roman" w:cs="Times New Roman"/>
          <w:color w:val="000000"/>
          <w:sz w:val="24"/>
          <w:szCs w:val="24"/>
        </w:rPr>
        <w:t>UU No. 43 Tahun 2008 tentang Wilayah Negara dilandasi oleh pengakuan bahwa Negara Kesatuan Republik Indonesia sebagai negara kepulauan yang berciri nusantara memiliki kedaulatan atas wilayahnya serta hak-hak berdaulat di luar wilayah kedaulatannya yang harus dikelola dan dimanfaatkan sebesar-besarnya bagi kesejahteraan dan kemakmuran rakyat Indonesia sesuai amanat UUD 1945.  (</w:t>
      </w:r>
      <w:r w:rsidRPr="00A15E6D">
        <w:rPr>
          <w:rFonts w:ascii="Times New Roman" w:eastAsia="Times New Roman" w:hAnsi="Times New Roman" w:cs="Times New Roman"/>
          <w:i/>
          <w:iCs/>
          <w:color w:val="000000"/>
          <w:sz w:val="24"/>
          <w:szCs w:val="24"/>
        </w:rPr>
        <w:t>Leks&amp;Co</w:t>
      </w:r>
      <w:r w:rsidRPr="00A15E6D">
        <w:rPr>
          <w:rFonts w:ascii="Times New Roman" w:eastAsia="Times New Roman" w:hAnsi="Times New Roman" w:cs="Times New Roman"/>
          <w:color w:val="000000"/>
          <w:sz w:val="24"/>
          <w:szCs w:val="24"/>
        </w:rPr>
        <w:t>) Undang-undang ini mencakup pengaturan tentang ketentuan umum, asas dan tujuan, ruang lingkup wilayah negara, hak-hak berdaulat, kewenangan, kelembagaan, peran serta masyarakat, larangan, hingga ketentuan pidana.  (BPK) Untuk mengelola batas wilayah negara dan kawasan perbatasan di tingkat pusat dan daerah, undang-undang ini mengamanatkan pembentukan Badan Pengelola Nasional di tingkat pusat dan Badan Pengelola Daerah di tingkat daerah, yang dalam implementasinya bernama BNPP, dengan tugas antara lain menetapkan kebijakan program pembangunan perbatasan.  (Hukumonline) Dalam konteks penelitian ini, UU 43/2008 merupakan instrumen hukum domestik paling fundamental yang menjadi landasan seluruh sistem pengelolaan PLBN. Meskipun undang-undang ini telah memberikan landasan hukum yang komprehensif, penelitian ini menemukan bahwa terdapat kesenjangan normatif antara amanat undang-undang dengan kapasitas implementasinya di lapangan terutama karena BNPP yang diamanatkan oleh undang-undang ini tidak dilengkapi dengan kewenangan eksekutif yang memadai untuk memastikan keterpaduan sistem CIQS secara efektif.</w:t>
      </w:r>
    </w:p>
    <w:p w14:paraId="22E02A50" w14:textId="760A8EB9" w:rsidR="00902771" w:rsidRPr="00A15E6D" w:rsidRDefault="00902771" w:rsidP="00A15E6D">
      <w:pPr>
        <w:pBdr>
          <w:top w:val="nil"/>
          <w:left w:val="nil"/>
          <w:bottom w:val="nil"/>
          <w:right w:val="nil"/>
          <w:between w:val="nil"/>
        </w:pBdr>
        <w:spacing w:after="0" w:line="360" w:lineRule="auto"/>
        <w:jc w:val="both"/>
        <w:rPr>
          <w:rFonts w:ascii="Times New Roman" w:eastAsia="Times New Roman" w:hAnsi="Times New Roman" w:cs="Times New Roman"/>
          <w:b/>
          <w:bCs/>
          <w:color w:val="000000"/>
          <w:sz w:val="24"/>
          <w:szCs w:val="24"/>
        </w:rPr>
      </w:pPr>
      <w:r w:rsidRPr="00A15E6D">
        <w:rPr>
          <w:rFonts w:ascii="Times New Roman" w:eastAsia="Times New Roman" w:hAnsi="Times New Roman" w:cs="Times New Roman"/>
          <w:b/>
          <w:bCs/>
          <w:color w:val="000000"/>
          <w:sz w:val="24"/>
          <w:szCs w:val="24"/>
        </w:rPr>
        <w:t xml:space="preserve">Sengketa Batas Indonesia-Timor Leste </w:t>
      </w:r>
    </w:p>
    <w:p w14:paraId="0298EA3C" w14:textId="2A9E3027" w:rsidR="00902771" w:rsidRPr="00A15E6D" w:rsidRDefault="00902771" w:rsidP="00A15E6D">
      <w:pPr>
        <w:spacing w:after="0" w:line="360" w:lineRule="auto"/>
        <w:ind w:firstLine="630"/>
        <w:jc w:val="both"/>
        <w:rPr>
          <w:rFonts w:ascii="Times New Roman" w:eastAsia="Times New Roman" w:hAnsi="Times New Roman" w:cs="Times New Roman"/>
          <w:color w:val="000000"/>
          <w:sz w:val="24"/>
          <w:szCs w:val="24"/>
        </w:rPr>
      </w:pPr>
      <w:r w:rsidRPr="00A15E6D">
        <w:rPr>
          <w:rFonts w:ascii="Times New Roman" w:eastAsia="Times New Roman" w:hAnsi="Times New Roman" w:cs="Times New Roman"/>
          <w:color w:val="000000"/>
          <w:sz w:val="24"/>
          <w:szCs w:val="24"/>
        </w:rPr>
        <w:t xml:space="preserve">Perundingan perbatasan antara Indonesia dan Timor-Leste telah dilakukan sejak 2001 dengan pemerintahan transisi bentukan PBB (UNTAET), kemudian dilanjutkan dengan pemerintahan resmi Timor-Leste sejak 2002 melalui Komite Perbatasan Gabungan (JBC). Hasilnya adalah Perjanjian Sementara 2005 yang menetapkan batas darat sepanjang 268,8 kilometer dengan 907 titik koordinat, namun baru menyelesaikan sekitar 96 persen urusan perbatasan darat, sementara sisa 4 persen yang mencakup wilayah </w:t>
      </w:r>
      <w:r w:rsidRPr="00A15E6D">
        <w:rPr>
          <w:rFonts w:ascii="Times New Roman" w:eastAsia="Times New Roman" w:hAnsi="Times New Roman" w:cs="Times New Roman"/>
          <w:i/>
          <w:iCs/>
          <w:color w:val="000000"/>
          <w:sz w:val="24"/>
          <w:szCs w:val="24"/>
        </w:rPr>
        <w:t>Noel Besi</w:t>
      </w:r>
      <w:r w:rsidRPr="00A15E6D">
        <w:rPr>
          <w:rFonts w:ascii="Times New Roman" w:eastAsia="Times New Roman" w:hAnsi="Times New Roman" w:cs="Times New Roman"/>
          <w:i/>
          <w:iCs/>
          <w:color w:val="000000"/>
          <w:sz w:val="24"/>
          <w:szCs w:val="24"/>
          <w:lang w:val="en-US"/>
        </w:rPr>
        <w:t xml:space="preserve"> </w:t>
      </w:r>
      <w:r w:rsidRPr="00A15E6D">
        <w:rPr>
          <w:rFonts w:ascii="Times New Roman" w:eastAsia="Times New Roman" w:hAnsi="Times New Roman" w:cs="Times New Roman"/>
          <w:i/>
          <w:iCs/>
          <w:color w:val="000000"/>
          <w:sz w:val="24"/>
          <w:szCs w:val="24"/>
        </w:rPr>
        <w:t>Citrana, Bidjael Sunan</w:t>
      </w:r>
      <w:r w:rsidRPr="00A15E6D">
        <w:rPr>
          <w:rFonts w:ascii="Times New Roman" w:eastAsia="Times New Roman" w:hAnsi="Times New Roman" w:cs="Times New Roman"/>
          <w:i/>
          <w:iCs/>
          <w:color w:val="000000"/>
          <w:sz w:val="24"/>
          <w:szCs w:val="24"/>
          <w:lang w:val="en-US"/>
        </w:rPr>
        <w:t xml:space="preserve"> </w:t>
      </w:r>
      <w:r w:rsidRPr="00A15E6D">
        <w:rPr>
          <w:rFonts w:ascii="Times New Roman" w:eastAsia="Times New Roman" w:hAnsi="Times New Roman" w:cs="Times New Roman"/>
          <w:i/>
          <w:iCs/>
          <w:color w:val="000000"/>
          <w:sz w:val="24"/>
          <w:szCs w:val="24"/>
        </w:rPr>
        <w:t>Oben,</w:t>
      </w:r>
      <w:r w:rsidRPr="00A15E6D">
        <w:rPr>
          <w:rFonts w:ascii="Times New Roman" w:eastAsia="Times New Roman" w:hAnsi="Times New Roman" w:cs="Times New Roman"/>
          <w:color w:val="000000"/>
          <w:sz w:val="24"/>
          <w:szCs w:val="24"/>
        </w:rPr>
        <w:t xml:space="preserve"> dan Dilumil-Memo belum disepakati karena perbedaan tafsir antara kedua negara.  (Kompas) Ambiguitas batas wilayah di segmen-segmen ini secara langsung mempengaruhi legitimasi operasional PLBN di kawasan tersebut, karena yurisdiksi yang belum final menciptakan ruang abu-abu hukum bagi petugas PLBN dalam menentukan garis batas pemeriksaan. Pada tahun 2019, Indonesia dan Timor-Leste menyepakati secara prinsip penyelesaian batas darat di segmen Noel Besi-Citrana dan Bidjael Sunan-Oben, dengan kesepakatan yang akan dituangkan dalam adendum perjanjian batas 2005 dan nantinya dalam perjanjian komprehensif kedua negara.  (Kompas) Namun, dalam perspektif penelitian ini, kesepakatan prinsip tersebut belum diterjemahkan menjadi perjanjian bilateral yang komprehensif dan berkekuatan hukum penuh, sehingga ambiguitas yurisdiksi di lapangan masih tetap menjadi hambatan struktural bagi pengelolaan PLBN yang efektif dan kepastian hukum bagi masyarakat perbatasan.</w:t>
      </w:r>
    </w:p>
    <w:p w14:paraId="6D5B1976" w14:textId="77777777" w:rsidR="00A15E6D" w:rsidRDefault="00A15E6D">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14:paraId="72B353A1" w14:textId="0E12412D" w:rsidR="003C085F" w:rsidRPr="00A15E6D" w:rsidRDefault="00A444B1" w:rsidP="00A15E6D">
      <w:pPr>
        <w:numPr>
          <w:ilvl w:val="0"/>
          <w:numId w:val="2"/>
        </w:numPr>
        <w:pBdr>
          <w:top w:val="nil"/>
          <w:left w:val="nil"/>
          <w:bottom w:val="nil"/>
          <w:right w:val="nil"/>
          <w:between w:val="nil"/>
        </w:pBdr>
        <w:spacing w:after="0" w:line="360" w:lineRule="auto"/>
        <w:ind w:left="360"/>
        <w:rPr>
          <w:rFonts w:ascii="Times New Roman" w:eastAsia="Times New Roman" w:hAnsi="Times New Roman" w:cs="Times New Roman"/>
          <w:b/>
          <w:bCs/>
          <w:color w:val="000000"/>
          <w:sz w:val="24"/>
          <w:szCs w:val="24"/>
        </w:rPr>
      </w:pPr>
      <w:r w:rsidRPr="00A15E6D">
        <w:rPr>
          <w:rFonts w:ascii="Times New Roman" w:eastAsia="Times New Roman" w:hAnsi="Times New Roman" w:cs="Times New Roman"/>
          <w:b/>
          <w:bCs/>
          <w:color w:val="000000"/>
          <w:sz w:val="24"/>
          <w:szCs w:val="24"/>
        </w:rPr>
        <w:t xml:space="preserve">METODE PENELITIAN </w:t>
      </w:r>
    </w:p>
    <w:p w14:paraId="1417EBE9" w14:textId="77777777" w:rsidR="00BA245F" w:rsidRPr="00A15E6D" w:rsidRDefault="00BA245F" w:rsidP="00A15E6D">
      <w:pPr>
        <w:spacing w:after="0" w:line="360" w:lineRule="auto"/>
        <w:ind w:firstLine="630"/>
        <w:jc w:val="both"/>
        <w:rPr>
          <w:rFonts w:ascii="Times New Roman" w:hAnsi="Times New Roman" w:cs="Times New Roman"/>
          <w:sz w:val="24"/>
          <w:szCs w:val="24"/>
        </w:rPr>
      </w:pPr>
      <w:r w:rsidRPr="00A15E6D">
        <w:rPr>
          <w:rFonts w:ascii="Times New Roman" w:hAnsi="Times New Roman" w:cs="Times New Roman"/>
          <w:sz w:val="24"/>
          <w:szCs w:val="24"/>
        </w:rPr>
        <w:t xml:space="preserve">Penelitian ini menggunakan metode penelitian hukum normatif (normative legal research) yang berfokus pada norma-norma hukum sebagai objek kajian utama. Metode ini dipilih </w:t>
      </w:r>
      <w:r w:rsidRPr="00A15E6D">
        <w:rPr>
          <w:rFonts w:ascii="Times New Roman" w:eastAsia="Times New Roman" w:hAnsi="Times New Roman" w:cs="Times New Roman"/>
          <w:color w:val="000000"/>
          <w:sz w:val="24"/>
          <w:szCs w:val="24"/>
        </w:rPr>
        <w:t>karena</w:t>
      </w:r>
      <w:r w:rsidRPr="00A15E6D">
        <w:rPr>
          <w:rFonts w:ascii="Times New Roman" w:hAnsi="Times New Roman" w:cs="Times New Roman"/>
          <w:sz w:val="24"/>
          <w:szCs w:val="24"/>
        </w:rPr>
        <w:t xml:space="preserve"> tujuan penelitian adalah mengidentifikasi kesenjangan normatif dan merekonstruksi argumen hukum yang lebih koheren dalam konteks pengelolaan PLBN. Adapun pendekatan yang digunakan dalam penelitian ini mencakup tiga pendekatan sekaligus, yakni: (1) pendekatan perundang-undangan (statute approach), (2) pendekatan konseptual (conceptual approach), dan (3) pendekatan kasus (case approach).</w:t>
      </w:r>
    </w:p>
    <w:p w14:paraId="74C20F40" w14:textId="6343D89F" w:rsidR="00BA245F" w:rsidRPr="00A15E6D" w:rsidRDefault="00BA245F" w:rsidP="00A15E6D">
      <w:pPr>
        <w:spacing w:after="0" w:line="360" w:lineRule="auto"/>
        <w:ind w:firstLine="630"/>
        <w:jc w:val="both"/>
        <w:rPr>
          <w:rFonts w:ascii="Times New Roman" w:hAnsi="Times New Roman" w:cs="Times New Roman"/>
          <w:sz w:val="24"/>
          <w:szCs w:val="24"/>
        </w:rPr>
      </w:pPr>
      <w:r w:rsidRPr="00A15E6D">
        <w:rPr>
          <w:rFonts w:ascii="Times New Roman" w:hAnsi="Times New Roman" w:cs="Times New Roman"/>
          <w:sz w:val="24"/>
          <w:szCs w:val="24"/>
        </w:rPr>
        <w:t xml:space="preserve">Pendekatan perundang-undangan digunakan untuk mengkaji secara sistematis seluruh instrumen hukum internasional dan peraturan perundang-undangan nasional yang berkaitan dengan </w:t>
      </w:r>
      <w:r w:rsidRPr="00A15E6D">
        <w:rPr>
          <w:rFonts w:ascii="Times New Roman" w:eastAsia="Times New Roman" w:hAnsi="Times New Roman" w:cs="Times New Roman"/>
          <w:color w:val="000000"/>
          <w:sz w:val="24"/>
          <w:szCs w:val="24"/>
        </w:rPr>
        <w:t>pengelolaan</w:t>
      </w:r>
      <w:r w:rsidRPr="00A15E6D">
        <w:rPr>
          <w:rFonts w:ascii="Times New Roman" w:hAnsi="Times New Roman" w:cs="Times New Roman"/>
          <w:sz w:val="24"/>
          <w:szCs w:val="24"/>
        </w:rPr>
        <w:t xml:space="preserve"> PLBN, meliputi Piagam PBB 1945, </w:t>
      </w:r>
      <w:r w:rsidRPr="00A15E6D">
        <w:rPr>
          <w:rFonts w:ascii="Times New Roman" w:hAnsi="Times New Roman" w:cs="Times New Roman"/>
          <w:i/>
          <w:iCs/>
          <w:sz w:val="24"/>
          <w:szCs w:val="24"/>
        </w:rPr>
        <w:t xml:space="preserve">Vienna Convention on the Law of Treaties </w:t>
      </w:r>
      <w:r w:rsidRPr="00A15E6D">
        <w:rPr>
          <w:rFonts w:ascii="Times New Roman" w:hAnsi="Times New Roman" w:cs="Times New Roman"/>
          <w:sz w:val="24"/>
          <w:szCs w:val="24"/>
        </w:rPr>
        <w:t xml:space="preserve">1969, </w:t>
      </w:r>
      <w:r w:rsidRPr="00A15E6D">
        <w:rPr>
          <w:rFonts w:ascii="Times New Roman" w:hAnsi="Times New Roman" w:cs="Times New Roman"/>
          <w:i/>
          <w:iCs/>
          <w:sz w:val="24"/>
          <w:szCs w:val="24"/>
        </w:rPr>
        <w:t>Vienna Convention on Consular Relations</w:t>
      </w:r>
      <w:r w:rsidRPr="00A15E6D">
        <w:rPr>
          <w:rFonts w:ascii="Times New Roman" w:hAnsi="Times New Roman" w:cs="Times New Roman"/>
          <w:sz w:val="24"/>
          <w:szCs w:val="24"/>
        </w:rPr>
        <w:t xml:space="preserve"> 1963, </w:t>
      </w:r>
      <w:r w:rsidRPr="00A15E6D">
        <w:rPr>
          <w:rFonts w:ascii="Times New Roman" w:hAnsi="Times New Roman" w:cs="Times New Roman"/>
          <w:i/>
          <w:iCs/>
          <w:sz w:val="24"/>
          <w:szCs w:val="24"/>
        </w:rPr>
        <w:t>Revised Kyoto</w:t>
      </w:r>
      <w:r w:rsidRPr="00A15E6D">
        <w:rPr>
          <w:rFonts w:ascii="Times New Roman" w:hAnsi="Times New Roman" w:cs="Times New Roman"/>
          <w:sz w:val="24"/>
          <w:szCs w:val="24"/>
        </w:rPr>
        <w:t xml:space="preserve"> </w:t>
      </w:r>
      <w:r w:rsidRPr="00A15E6D">
        <w:rPr>
          <w:rFonts w:ascii="Times New Roman" w:hAnsi="Times New Roman" w:cs="Times New Roman"/>
          <w:i/>
          <w:iCs/>
          <w:sz w:val="24"/>
          <w:szCs w:val="24"/>
        </w:rPr>
        <w:t>Convention</w:t>
      </w:r>
      <w:r w:rsidRPr="00A15E6D">
        <w:rPr>
          <w:rFonts w:ascii="Times New Roman" w:hAnsi="Times New Roman" w:cs="Times New Roman"/>
          <w:sz w:val="24"/>
          <w:szCs w:val="24"/>
        </w:rPr>
        <w:t xml:space="preserve"> 1999, </w:t>
      </w:r>
      <w:r w:rsidRPr="00A15E6D">
        <w:rPr>
          <w:rFonts w:ascii="Times New Roman" w:hAnsi="Times New Roman" w:cs="Times New Roman"/>
          <w:i/>
          <w:iCs/>
          <w:sz w:val="24"/>
          <w:szCs w:val="24"/>
        </w:rPr>
        <w:t>International Health Regulations</w:t>
      </w:r>
      <w:r w:rsidRPr="00A15E6D">
        <w:rPr>
          <w:rFonts w:ascii="Times New Roman" w:hAnsi="Times New Roman" w:cs="Times New Roman"/>
          <w:sz w:val="24"/>
          <w:szCs w:val="24"/>
        </w:rPr>
        <w:t xml:space="preserve"> 2005, UNTOC/Konvensi Palermo 2000, Undang-Undang Nomor 43 Tahun 2008 tentang Wilayah Negara, Undang-Undang Nomor 6 Tahun 2011 tentang Keimigrasian, serta berbagai peraturan pelaksanaannya.</w:t>
      </w:r>
    </w:p>
    <w:p w14:paraId="53D00C23" w14:textId="77777777" w:rsidR="00BA245F" w:rsidRPr="00A15E6D" w:rsidRDefault="00BA245F" w:rsidP="00A15E6D">
      <w:pPr>
        <w:spacing w:after="0" w:line="360" w:lineRule="auto"/>
        <w:ind w:firstLine="630"/>
        <w:jc w:val="both"/>
        <w:rPr>
          <w:rFonts w:ascii="Times New Roman" w:hAnsi="Times New Roman" w:cs="Times New Roman"/>
          <w:sz w:val="24"/>
          <w:szCs w:val="24"/>
        </w:rPr>
      </w:pPr>
      <w:r w:rsidRPr="00A15E6D">
        <w:rPr>
          <w:rFonts w:ascii="Times New Roman" w:hAnsi="Times New Roman" w:cs="Times New Roman"/>
          <w:sz w:val="24"/>
          <w:szCs w:val="24"/>
        </w:rPr>
        <w:t>Pendekatan konseptual digunakan untuk mengelaborasi konsep-konsep hukum fundamental yang menjadi landasan analisis, antara lain konsep kedaulatan territorial (</w:t>
      </w:r>
      <w:r w:rsidRPr="00A15E6D">
        <w:rPr>
          <w:rFonts w:ascii="Times New Roman" w:hAnsi="Times New Roman" w:cs="Times New Roman"/>
          <w:i/>
          <w:iCs/>
          <w:sz w:val="24"/>
          <w:szCs w:val="24"/>
        </w:rPr>
        <w:t>territorial sovereignty</w:t>
      </w:r>
      <w:r w:rsidRPr="00A15E6D">
        <w:rPr>
          <w:rFonts w:ascii="Times New Roman" w:hAnsi="Times New Roman" w:cs="Times New Roman"/>
          <w:sz w:val="24"/>
          <w:szCs w:val="24"/>
        </w:rPr>
        <w:t xml:space="preserve">), uti possidetis juris, prinsip non-refoulement, serta konsep kesenjangan </w:t>
      </w:r>
      <w:r w:rsidRPr="00A15E6D">
        <w:rPr>
          <w:rFonts w:ascii="Times New Roman" w:eastAsia="Times New Roman" w:hAnsi="Times New Roman" w:cs="Times New Roman"/>
          <w:color w:val="000000"/>
          <w:sz w:val="24"/>
          <w:szCs w:val="24"/>
        </w:rPr>
        <w:t>normatif</w:t>
      </w:r>
      <w:r w:rsidRPr="00A15E6D">
        <w:rPr>
          <w:rFonts w:ascii="Times New Roman" w:hAnsi="Times New Roman" w:cs="Times New Roman"/>
          <w:sz w:val="24"/>
          <w:szCs w:val="24"/>
        </w:rPr>
        <w:t xml:space="preserve"> (normative gap) dan disharmonisasi regulasi dalam konteks hukum internasional dan hukum nasional. Pendekatan ini penting untuk membangun kerangka analisis yang koheren dalam menilai apakah implementasi PLBN telah sesuai dengan standar norma hukum internasional.</w:t>
      </w:r>
    </w:p>
    <w:p w14:paraId="6F6E82F0" w14:textId="2A676AF8" w:rsidR="00BA245F" w:rsidRPr="00A15E6D" w:rsidRDefault="00BA245F" w:rsidP="00A15E6D">
      <w:pPr>
        <w:spacing w:after="0" w:line="360" w:lineRule="auto"/>
        <w:ind w:firstLine="630"/>
        <w:jc w:val="both"/>
        <w:rPr>
          <w:rFonts w:ascii="Times New Roman" w:hAnsi="Times New Roman" w:cs="Times New Roman"/>
          <w:sz w:val="24"/>
          <w:szCs w:val="24"/>
        </w:rPr>
      </w:pPr>
      <w:r w:rsidRPr="00A15E6D">
        <w:rPr>
          <w:rFonts w:ascii="Times New Roman" w:hAnsi="Times New Roman" w:cs="Times New Roman"/>
          <w:sz w:val="24"/>
          <w:szCs w:val="24"/>
        </w:rPr>
        <w:t xml:space="preserve">Pendekatan kasus digunakan untuk menganalisis situasi konkret yang terjadi di lapangan sebagai landasan empirik-hukum, khususnya: (a) kasus pelanggaran lintas batas di sekitar PLBN Motamasin, </w:t>
      </w:r>
      <w:r w:rsidRPr="00A15E6D">
        <w:rPr>
          <w:rFonts w:ascii="Times New Roman" w:eastAsia="Times New Roman" w:hAnsi="Times New Roman" w:cs="Times New Roman"/>
          <w:color w:val="000000"/>
          <w:sz w:val="24"/>
          <w:szCs w:val="24"/>
        </w:rPr>
        <w:t>Kabupaten</w:t>
      </w:r>
      <w:r w:rsidRPr="00A15E6D">
        <w:rPr>
          <w:rFonts w:ascii="Times New Roman" w:hAnsi="Times New Roman" w:cs="Times New Roman"/>
          <w:sz w:val="24"/>
          <w:szCs w:val="24"/>
        </w:rPr>
        <w:t xml:space="preserve"> Malaka, Nusa Tenggara Timur; (b) persoalan hukum dalam sengketa batas Indonesia-Timor Leste di segmen Noel Besi Citrana dan Bidjael Sunan Oben yang belum terselesaikan; dan (c) kesenjangan implementasi sistem CIQS (</w:t>
      </w:r>
      <w:r w:rsidRPr="00A15E6D">
        <w:rPr>
          <w:rFonts w:ascii="Times New Roman" w:hAnsi="Times New Roman" w:cs="Times New Roman"/>
          <w:i/>
          <w:iCs/>
          <w:sz w:val="24"/>
          <w:szCs w:val="24"/>
        </w:rPr>
        <w:t>Customs, Immigration, Quarantine, Security</w:t>
      </w:r>
      <w:r w:rsidRPr="00A15E6D">
        <w:rPr>
          <w:rFonts w:ascii="Times New Roman" w:hAnsi="Times New Roman" w:cs="Times New Roman"/>
          <w:sz w:val="24"/>
          <w:szCs w:val="24"/>
        </w:rPr>
        <w:t>) di jalur lintas batas tradisional (Jalur B dan Jalur C). Data dikumpulkan melalui studi kepustakaan terhadap sumber primer, sekunder, dan tersier yang telah diverifikasi validitas dan aksesibilitasnya.</w:t>
      </w:r>
    </w:p>
    <w:p w14:paraId="647463E4" w14:textId="77777777" w:rsidR="00A15E6D" w:rsidRDefault="00A15E6D">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14:paraId="563DFB43" w14:textId="3EF552C0" w:rsidR="00BA245F" w:rsidRPr="00A15E6D" w:rsidRDefault="00A444B1" w:rsidP="00A15E6D">
      <w:pPr>
        <w:numPr>
          <w:ilvl w:val="0"/>
          <w:numId w:val="2"/>
        </w:numPr>
        <w:pBdr>
          <w:top w:val="nil"/>
          <w:left w:val="nil"/>
          <w:bottom w:val="nil"/>
          <w:right w:val="nil"/>
          <w:between w:val="nil"/>
        </w:pBdr>
        <w:spacing w:after="0" w:line="360" w:lineRule="auto"/>
        <w:ind w:left="360"/>
        <w:rPr>
          <w:rFonts w:ascii="Times New Roman" w:eastAsia="Times New Roman" w:hAnsi="Times New Roman" w:cs="Times New Roman"/>
          <w:b/>
          <w:bCs/>
          <w:color w:val="000000"/>
          <w:sz w:val="24"/>
          <w:szCs w:val="24"/>
        </w:rPr>
      </w:pPr>
      <w:r w:rsidRPr="00A15E6D">
        <w:rPr>
          <w:rFonts w:ascii="Times New Roman" w:eastAsia="Times New Roman" w:hAnsi="Times New Roman" w:cs="Times New Roman"/>
          <w:b/>
          <w:bCs/>
          <w:color w:val="000000"/>
          <w:sz w:val="24"/>
          <w:szCs w:val="24"/>
        </w:rPr>
        <w:t xml:space="preserve">HASIL DAN PEMBAHASAN </w:t>
      </w:r>
    </w:p>
    <w:p w14:paraId="22DD1761" w14:textId="5FBE7423" w:rsidR="00BA245F" w:rsidRPr="00A15E6D" w:rsidRDefault="00BA245F" w:rsidP="00A15E6D">
      <w:pPr>
        <w:spacing w:after="0" w:line="360" w:lineRule="auto"/>
        <w:jc w:val="both"/>
        <w:rPr>
          <w:rFonts w:ascii="Times New Roman" w:hAnsi="Times New Roman" w:cs="Times New Roman"/>
          <w:sz w:val="24"/>
          <w:szCs w:val="24"/>
        </w:rPr>
      </w:pPr>
      <w:r w:rsidRPr="00A15E6D">
        <w:rPr>
          <w:rFonts w:ascii="Times New Roman" w:hAnsi="Times New Roman" w:cs="Times New Roman"/>
          <w:b/>
          <w:bCs/>
          <w:sz w:val="24"/>
          <w:szCs w:val="24"/>
        </w:rPr>
        <w:t>Kerangka Hukum Internasional dan Landasan Konseptual Pengelolaan PLBN</w:t>
      </w:r>
    </w:p>
    <w:p w14:paraId="16D69625" w14:textId="5493DADA" w:rsidR="00BA245F" w:rsidRPr="00A15E6D" w:rsidRDefault="00BA245F" w:rsidP="00A15E6D">
      <w:pPr>
        <w:spacing w:after="0" w:line="360" w:lineRule="auto"/>
        <w:ind w:firstLine="630"/>
        <w:jc w:val="both"/>
        <w:rPr>
          <w:rFonts w:ascii="Times New Roman" w:hAnsi="Times New Roman" w:cs="Times New Roman"/>
          <w:sz w:val="24"/>
          <w:szCs w:val="24"/>
        </w:rPr>
      </w:pPr>
      <w:r w:rsidRPr="00A15E6D">
        <w:rPr>
          <w:rFonts w:ascii="Times New Roman" w:hAnsi="Times New Roman" w:cs="Times New Roman"/>
          <w:sz w:val="24"/>
          <w:szCs w:val="24"/>
        </w:rPr>
        <w:t xml:space="preserve">Pengelolaan PLBN sebagai instrumen kedaulatan negara tidak dapat dilepaskan dari landasan filosofis dan normatif hukum internasional. Jean Bodin melalui karyanya </w:t>
      </w:r>
      <w:r w:rsidRPr="00A15E6D">
        <w:rPr>
          <w:rFonts w:ascii="Times New Roman" w:hAnsi="Times New Roman" w:cs="Times New Roman"/>
          <w:i/>
          <w:iCs/>
          <w:sz w:val="24"/>
          <w:szCs w:val="24"/>
        </w:rPr>
        <w:t>Les Six Livres de la République</w:t>
      </w:r>
      <w:r w:rsidRPr="00A15E6D">
        <w:rPr>
          <w:rFonts w:ascii="Times New Roman" w:hAnsi="Times New Roman" w:cs="Times New Roman"/>
          <w:sz w:val="24"/>
          <w:szCs w:val="24"/>
        </w:rPr>
        <w:t xml:space="preserve"> meletakkan dasar konseptual kedaulatan sebagai kekuasaan tertinggi yang tidak dapat dibagi dalam suatu negara. Dalam perkembangannya, konsep kedaulatan mengalami transformasi dari sifat yang absolut menuju relatif, di mana pengakuan kedaulatan negara selalu disertai kewajiban untuk menghormati norma-norma hukum internasional. Prinsip ini tercermin dalam Pasal 2 ayat (1) Piagam Perserikatan Bangsa-Bangsa yang menegaskan persamaan kedaulatan setiap anggota PBB.</w:t>
      </w:r>
    </w:p>
    <w:p w14:paraId="414ABBDE" w14:textId="473FBA8E" w:rsidR="00BA245F" w:rsidRPr="00A15E6D" w:rsidRDefault="00BA245F" w:rsidP="00A15E6D">
      <w:pPr>
        <w:spacing w:after="0" w:line="360" w:lineRule="auto"/>
        <w:ind w:firstLine="630"/>
        <w:jc w:val="both"/>
        <w:rPr>
          <w:rFonts w:ascii="Times New Roman" w:hAnsi="Times New Roman" w:cs="Times New Roman"/>
          <w:sz w:val="24"/>
          <w:szCs w:val="24"/>
        </w:rPr>
      </w:pPr>
      <w:r w:rsidRPr="00A15E6D">
        <w:rPr>
          <w:rFonts w:ascii="Times New Roman" w:hAnsi="Times New Roman" w:cs="Times New Roman"/>
          <w:sz w:val="24"/>
          <w:szCs w:val="24"/>
        </w:rPr>
        <w:t>Dalam kerangka hukum internasional, pengelolaan batas wilayah negara bertumpu pada prinsip uti possidetis juris yang mengharuskan pengakuan atas batas administratif yang berlaku pada saat kemerdekaan sebagai batas negara yang sah. Prinsip ini telah dikukuhkan oleh Mahkamah Internasional dalam kasus Burkina Faso v. Mali (1986) dan menjadi landasan bagi penetapan batas darat Indonesia. Dengan demikian, batas darat Indonesia dengan Malaysia di Kalimantan mengacu pada Konvensi antara Belanda dan Inggris tahun 1891, sementara batas dengan Timor-Leste merujuk pada serangkaian perjanjian antara Belanda dan Portugal sejak tahun 1859 hingga 1904.</w:t>
      </w:r>
    </w:p>
    <w:p w14:paraId="6B1616DA" w14:textId="4CA158CD" w:rsidR="00BA245F" w:rsidRPr="00A15E6D" w:rsidRDefault="00BA245F" w:rsidP="00A15E6D">
      <w:pPr>
        <w:spacing w:after="0" w:line="360" w:lineRule="auto"/>
        <w:ind w:firstLine="630"/>
        <w:jc w:val="both"/>
        <w:rPr>
          <w:rFonts w:ascii="Times New Roman" w:hAnsi="Times New Roman" w:cs="Times New Roman"/>
          <w:sz w:val="24"/>
          <w:szCs w:val="24"/>
        </w:rPr>
      </w:pPr>
      <w:r w:rsidRPr="00A15E6D">
        <w:rPr>
          <w:rFonts w:ascii="Times New Roman" w:hAnsi="Times New Roman" w:cs="Times New Roman"/>
          <w:sz w:val="24"/>
          <w:szCs w:val="24"/>
        </w:rPr>
        <w:t xml:space="preserve">Rezim hukum internasional yang mengatur operasional PLBN bersifat multilapis. </w:t>
      </w:r>
      <w:r w:rsidRPr="00A15E6D">
        <w:rPr>
          <w:rFonts w:ascii="Times New Roman" w:hAnsi="Times New Roman" w:cs="Times New Roman"/>
          <w:i/>
          <w:iCs/>
          <w:sz w:val="24"/>
          <w:szCs w:val="24"/>
        </w:rPr>
        <w:t>Vienna Convention on the Law of Treaties</w:t>
      </w:r>
      <w:r w:rsidRPr="00A15E6D">
        <w:rPr>
          <w:rFonts w:ascii="Times New Roman" w:hAnsi="Times New Roman" w:cs="Times New Roman"/>
          <w:sz w:val="24"/>
          <w:szCs w:val="24"/>
        </w:rPr>
        <w:t xml:space="preserve"> 1969 menjadi kerangka induk yang menentukan validitas dan keberlakuan perjanjian perbatasan antarnegara, termasuk klausula rebus sic stantibus yang dalam konteks perjanjian perbatasan diterapkan secara sangat ketat demi menjamin </w:t>
      </w:r>
      <w:r w:rsidRPr="00A15E6D">
        <w:rPr>
          <w:rFonts w:ascii="Times New Roman" w:eastAsia="Times New Roman" w:hAnsi="Times New Roman" w:cs="Times New Roman"/>
          <w:color w:val="000000"/>
          <w:sz w:val="24"/>
          <w:szCs w:val="24"/>
        </w:rPr>
        <w:t>kepastian</w:t>
      </w:r>
      <w:r w:rsidRPr="00A15E6D">
        <w:rPr>
          <w:rFonts w:ascii="Times New Roman" w:hAnsi="Times New Roman" w:cs="Times New Roman"/>
          <w:sz w:val="24"/>
          <w:szCs w:val="24"/>
        </w:rPr>
        <w:t xml:space="preserve"> hukum.</w:t>
      </w:r>
      <w:r w:rsidRPr="00A15E6D">
        <w:rPr>
          <w:rFonts w:ascii="Times New Roman" w:hAnsi="Times New Roman" w:cs="Times New Roman"/>
          <w:sz w:val="24"/>
          <w:szCs w:val="24"/>
          <w:vertAlign w:val="superscript"/>
        </w:rPr>
        <w:t xml:space="preserve"> </w:t>
      </w:r>
      <w:r w:rsidRPr="00A15E6D">
        <w:rPr>
          <w:rFonts w:ascii="Times New Roman" w:hAnsi="Times New Roman" w:cs="Times New Roman"/>
          <w:i/>
          <w:iCs/>
          <w:sz w:val="24"/>
          <w:szCs w:val="24"/>
        </w:rPr>
        <w:t>Revised Kyoto Convention</w:t>
      </w:r>
      <w:r w:rsidRPr="00A15E6D">
        <w:rPr>
          <w:rFonts w:ascii="Times New Roman" w:hAnsi="Times New Roman" w:cs="Times New Roman"/>
          <w:sz w:val="24"/>
          <w:szCs w:val="24"/>
        </w:rPr>
        <w:t xml:space="preserve"> tentang penyederhanaan dan harmonisasi prosedur kepabeanan, yang dikelola</w:t>
      </w:r>
      <w:r w:rsidR="007A460A" w:rsidRPr="00A15E6D">
        <w:rPr>
          <w:rFonts w:ascii="Times New Roman" w:hAnsi="Times New Roman" w:cs="Times New Roman"/>
          <w:sz w:val="24"/>
          <w:szCs w:val="24"/>
          <w:lang w:val="en-US"/>
        </w:rPr>
        <w:t xml:space="preserve"> </w:t>
      </w:r>
      <w:r w:rsidRPr="00A15E6D">
        <w:rPr>
          <w:rFonts w:ascii="Times New Roman" w:hAnsi="Times New Roman" w:cs="Times New Roman"/>
          <w:sz w:val="24"/>
          <w:szCs w:val="24"/>
        </w:rPr>
        <w:t xml:space="preserve">oleh World Customs Organization (WCO), menetapkan standar internasional bagi operasional bea cukai di pos perbatasan. International Health Regulations (IHR) 2005 yang diadopsi oleh WHO mewajibkan negara-negara anggota, termasuk Indonesia, untuk membangun kapasitas inti di titik-titik masuk internasional, termasuk fasilitas karantina kesehatan yang memadai. Sementara itu, UNTOC 2000 atau Konvensi Palermo mewajibkan kerja sama internasional dalam penanggulangan kejahatan lintas batas terorganisasi, yang telah diratifikasi Indonesia melalui Undang-Undang Nomor 5 Tahun 2009. </w:t>
      </w:r>
    </w:p>
    <w:p w14:paraId="7E2670E7" w14:textId="77777777" w:rsidR="00A15E6D" w:rsidRDefault="00A15E6D">
      <w:pPr>
        <w:rPr>
          <w:rFonts w:ascii="Times New Roman" w:hAnsi="Times New Roman" w:cs="Times New Roman"/>
          <w:b/>
          <w:bCs/>
          <w:sz w:val="24"/>
          <w:szCs w:val="24"/>
        </w:rPr>
      </w:pPr>
      <w:r>
        <w:rPr>
          <w:rFonts w:ascii="Times New Roman" w:hAnsi="Times New Roman" w:cs="Times New Roman"/>
          <w:b/>
          <w:bCs/>
          <w:sz w:val="24"/>
          <w:szCs w:val="24"/>
        </w:rPr>
        <w:br w:type="page"/>
      </w:r>
    </w:p>
    <w:p w14:paraId="497795EB" w14:textId="14683E30" w:rsidR="00BA245F" w:rsidRPr="00A15E6D" w:rsidRDefault="00BA245F" w:rsidP="00A15E6D">
      <w:pPr>
        <w:spacing w:after="0" w:line="360" w:lineRule="auto"/>
        <w:jc w:val="both"/>
        <w:rPr>
          <w:rFonts w:ascii="Times New Roman" w:hAnsi="Times New Roman" w:cs="Times New Roman"/>
          <w:sz w:val="24"/>
          <w:szCs w:val="24"/>
        </w:rPr>
      </w:pPr>
      <w:r w:rsidRPr="00A15E6D">
        <w:rPr>
          <w:rFonts w:ascii="Times New Roman" w:hAnsi="Times New Roman" w:cs="Times New Roman"/>
          <w:b/>
          <w:bCs/>
          <w:sz w:val="24"/>
          <w:szCs w:val="24"/>
        </w:rPr>
        <w:t>Analisis Kesenjangan Normatif: Antara Komitmen Internasional dan Implementasi Domestik</w:t>
      </w:r>
    </w:p>
    <w:p w14:paraId="0BBF216E" w14:textId="77777777" w:rsidR="00BA245F" w:rsidRPr="00A15E6D" w:rsidRDefault="00BA245F" w:rsidP="00A15E6D">
      <w:pPr>
        <w:spacing w:after="0" w:line="360" w:lineRule="auto"/>
        <w:ind w:firstLine="630"/>
        <w:jc w:val="both"/>
        <w:rPr>
          <w:rFonts w:ascii="Times New Roman" w:hAnsi="Times New Roman" w:cs="Times New Roman"/>
          <w:sz w:val="24"/>
          <w:szCs w:val="24"/>
        </w:rPr>
      </w:pPr>
      <w:r w:rsidRPr="00A15E6D">
        <w:rPr>
          <w:rFonts w:ascii="Times New Roman" w:hAnsi="Times New Roman" w:cs="Times New Roman"/>
          <w:sz w:val="24"/>
          <w:szCs w:val="24"/>
        </w:rPr>
        <w:t>Kesenjangan normatif (</w:t>
      </w:r>
      <w:r w:rsidRPr="00A15E6D">
        <w:rPr>
          <w:rFonts w:ascii="Times New Roman" w:hAnsi="Times New Roman" w:cs="Times New Roman"/>
          <w:i/>
          <w:iCs/>
          <w:sz w:val="24"/>
          <w:szCs w:val="24"/>
        </w:rPr>
        <w:t>normative gap</w:t>
      </w:r>
      <w:r w:rsidRPr="00A15E6D">
        <w:rPr>
          <w:rFonts w:ascii="Times New Roman" w:hAnsi="Times New Roman" w:cs="Times New Roman"/>
          <w:sz w:val="24"/>
          <w:szCs w:val="24"/>
        </w:rPr>
        <w:t xml:space="preserve">) dalam pengelolaan PLBN dapat diidentifikasi pada setidaknya tiga lapisan utama. Lapisan pertama adalah kesenjangan antara kewajiban konvensi internasional dengan substansi regulasi nasional. Lapisan kedua adalah kesenjangan antara regulasi nasional yang tersedia dengan kapasitas implementasinya di lapangan. Lapisan ketiga adalah kesenjangan antara teks perjanjian bilateral dengan praktik </w:t>
      </w:r>
      <w:r w:rsidRPr="00A15E6D">
        <w:rPr>
          <w:rFonts w:ascii="Times New Roman" w:eastAsia="Times New Roman" w:hAnsi="Times New Roman" w:cs="Times New Roman"/>
          <w:color w:val="000000"/>
          <w:sz w:val="24"/>
          <w:szCs w:val="24"/>
        </w:rPr>
        <w:t>operasional</w:t>
      </w:r>
      <w:r w:rsidRPr="00A15E6D">
        <w:rPr>
          <w:rFonts w:ascii="Times New Roman" w:hAnsi="Times New Roman" w:cs="Times New Roman"/>
          <w:sz w:val="24"/>
          <w:szCs w:val="24"/>
        </w:rPr>
        <w:t xml:space="preserve"> di lapangan. Ketiga lapisan ini saling berinteraksi dan menciptakan apa yang dapat disebut sebagai defisit hukum struktural (structural legal deficit) dalam tata kelola perbatasan Indonesia. </w:t>
      </w:r>
    </w:p>
    <w:p w14:paraId="3E723042" w14:textId="09C28104" w:rsidR="00BA245F" w:rsidRPr="00A15E6D" w:rsidRDefault="00BA245F" w:rsidP="00A15E6D">
      <w:pPr>
        <w:spacing w:after="0" w:line="360" w:lineRule="auto"/>
        <w:ind w:firstLine="630"/>
        <w:jc w:val="both"/>
        <w:rPr>
          <w:rFonts w:ascii="Times New Roman" w:hAnsi="Times New Roman" w:cs="Times New Roman"/>
          <w:sz w:val="24"/>
          <w:szCs w:val="24"/>
        </w:rPr>
      </w:pPr>
      <w:r w:rsidRPr="00A15E6D">
        <w:rPr>
          <w:rFonts w:ascii="Times New Roman" w:hAnsi="Times New Roman" w:cs="Times New Roman"/>
          <w:sz w:val="24"/>
          <w:szCs w:val="24"/>
        </w:rPr>
        <w:t xml:space="preserve">Pada lapisan pertama, kewajiban Indonesia di bawah IHR 2005 mensyaratkan </w:t>
      </w:r>
      <w:r w:rsidRPr="00A15E6D">
        <w:rPr>
          <w:rFonts w:ascii="Times New Roman" w:eastAsia="Times New Roman" w:hAnsi="Times New Roman" w:cs="Times New Roman"/>
          <w:color w:val="000000"/>
          <w:sz w:val="24"/>
          <w:szCs w:val="24"/>
        </w:rPr>
        <w:t>tersedianya</w:t>
      </w:r>
      <w:r w:rsidRPr="00A15E6D">
        <w:rPr>
          <w:rFonts w:ascii="Times New Roman" w:hAnsi="Times New Roman" w:cs="Times New Roman"/>
          <w:sz w:val="24"/>
          <w:szCs w:val="24"/>
        </w:rPr>
        <w:t xml:space="preserve"> kapasitas inti berupa prosedur pemeriksaan kesehatan, fasilitas karantina yang layak, serta sistem komunikasi yang terintegrasi di setiap titik masuk internasional yang ditetapkan. Dalam praktiknya, meskipun 7 PLBN Terpadu Gelombang Pertama telah dilengkapi gedung karantina, sejumlah PLBN yang masih dalam kategori Jalur B dan Jalur C dengan karakteristik pos lintas batas tradisional yang tidak dilengkapi unsur CIQS lengkap secara teknis tetap menjadi titik masuk potensial bagi penyebaran penyakit lintas batas, namun tidak memenuhi standar kapasitas inti IHR 2005. Hal ini mencerminkan kesenjangan normatif yang nyata antara kewajiban internasional dengan kondisi faktual.</w:t>
      </w:r>
    </w:p>
    <w:p w14:paraId="3DB22FC4" w14:textId="06301FB8" w:rsidR="00BA245F" w:rsidRPr="00A15E6D" w:rsidRDefault="00BA245F" w:rsidP="00A15E6D">
      <w:pPr>
        <w:spacing w:after="0" w:line="360" w:lineRule="auto"/>
        <w:ind w:firstLine="630"/>
        <w:jc w:val="both"/>
        <w:rPr>
          <w:rFonts w:ascii="Times New Roman" w:hAnsi="Times New Roman" w:cs="Times New Roman"/>
          <w:sz w:val="24"/>
          <w:szCs w:val="24"/>
        </w:rPr>
      </w:pPr>
      <w:r w:rsidRPr="00A15E6D">
        <w:rPr>
          <w:rFonts w:ascii="Times New Roman" w:hAnsi="Times New Roman" w:cs="Times New Roman"/>
          <w:sz w:val="24"/>
          <w:szCs w:val="24"/>
        </w:rPr>
        <w:t>Pada lapisan kedua, Undang-Undang Nomor 43 Tahun 2008 tentang Wilayah Negara telah meletakkan landasan hukum yang komprehensif bagi pengelolaan wilayah perbatasan, termasuk pembentukan Badan Nasional Pengelola Perbatasan (BNPP) berdasarkan Peraturan Presiden Nomor 12 Tahun 2010 yang kemudian diperbarui dengan Peraturan Presiden Nomor 44 Tahun 2017. Namun, meskipun regulasi nasional ini tersedia, implementasinya menghadapi kendala serius berupa fragmentasi kelembagaan. Sistem CIQS yang secara konseptual dirancang sebagai satu kesatuan terpadu nyatanya masih beroperasi secara sektoral: aspek keimigrasian berada di bawah Direktorat Jenderal Imigrasi Kementerian Hukum dan HAM, aspek kepabeanan di bawah Direktorat Jenderal Bea dan Cukai Kementerian Keuangan, aspek karantina di bawah kementerian terkait, dan aspek keamanan di bawah TNI/POLRI. BNPP sebagai koordinator belum memiliki kewenangan eksekutif yang memadai untuk memastikan keterpaduan operasional ini.</w:t>
      </w:r>
    </w:p>
    <w:p w14:paraId="77DF393B" w14:textId="6B0A9814" w:rsidR="00BA245F" w:rsidRPr="00A15E6D" w:rsidRDefault="00BA245F" w:rsidP="00A15E6D">
      <w:pPr>
        <w:spacing w:after="0" w:line="360" w:lineRule="auto"/>
        <w:ind w:firstLine="630"/>
        <w:jc w:val="both"/>
        <w:rPr>
          <w:rFonts w:ascii="Times New Roman" w:hAnsi="Times New Roman" w:cs="Times New Roman"/>
          <w:sz w:val="24"/>
          <w:szCs w:val="24"/>
        </w:rPr>
      </w:pPr>
      <w:r w:rsidRPr="00A15E6D">
        <w:rPr>
          <w:rFonts w:ascii="Times New Roman" w:hAnsi="Times New Roman" w:cs="Times New Roman"/>
          <w:sz w:val="24"/>
          <w:szCs w:val="24"/>
        </w:rPr>
        <w:t xml:space="preserve">Pada lapisan ketiga, Border Crossing Agreement (BCA) antara Indonesia dan Malaysia yang mengatur lalu lintas orang dan barang di perbatasan Kalimantan memiliki klausul-klausul yang tidak </w:t>
      </w:r>
      <w:r w:rsidRPr="00A15E6D">
        <w:rPr>
          <w:rFonts w:ascii="Times New Roman" w:eastAsia="Times New Roman" w:hAnsi="Times New Roman" w:cs="Times New Roman"/>
          <w:color w:val="000000"/>
          <w:sz w:val="24"/>
          <w:szCs w:val="24"/>
        </w:rPr>
        <w:t>sepenuhnya</w:t>
      </w:r>
      <w:r w:rsidRPr="00A15E6D">
        <w:rPr>
          <w:rFonts w:ascii="Times New Roman" w:hAnsi="Times New Roman" w:cs="Times New Roman"/>
          <w:sz w:val="24"/>
          <w:szCs w:val="24"/>
        </w:rPr>
        <w:t xml:space="preserve"> selaras dengan ketentuan Undang-Undang Nomor 6 Tahun 2011 tentang Keimigrasian. Salah satu contoh konkret adalah pengaturan mengenai Pas Lintas Batas (PLB) yang berbeda prosedurnya dengan ketentuan dokumen perjalanan dalam regulasi keimigrasian nasional. Inkonsistensi ini menimbulkan ketidakpastian hukum bagi petugas di lapangan dan membuka celah bagi praktik-praktik informal yang rentan disalahgunakan. Ketidakselarasan serupa juga terjadi dalam hubungan Indonesia dengan Timor-Leste, di mana Memorandum of Understanding (MoU) yang ada belum sepenuhnya diperkuat dengan perjanjian bilateral yang komprehensif dan berkekuatan hukum mengikat setara perjanjian internasional. </w:t>
      </w:r>
    </w:p>
    <w:p w14:paraId="49A39421" w14:textId="60DA957F" w:rsidR="00BA245F" w:rsidRPr="00A15E6D" w:rsidRDefault="00BA245F" w:rsidP="00A15E6D">
      <w:pPr>
        <w:spacing w:after="0" w:line="360" w:lineRule="auto"/>
        <w:jc w:val="both"/>
        <w:rPr>
          <w:rFonts w:ascii="Times New Roman" w:hAnsi="Times New Roman" w:cs="Times New Roman"/>
          <w:sz w:val="24"/>
          <w:szCs w:val="24"/>
        </w:rPr>
      </w:pPr>
      <w:r w:rsidRPr="00A15E6D">
        <w:rPr>
          <w:rFonts w:ascii="Times New Roman" w:hAnsi="Times New Roman" w:cs="Times New Roman"/>
          <w:b/>
          <w:bCs/>
          <w:sz w:val="24"/>
          <w:szCs w:val="24"/>
        </w:rPr>
        <w:t>Studi Kasus: PLBN Motamasin dan Problematika Pelintas Batas Ilegal</w:t>
      </w:r>
    </w:p>
    <w:p w14:paraId="23768E08" w14:textId="10792317" w:rsidR="00BA245F" w:rsidRPr="00A15E6D" w:rsidRDefault="00BA245F" w:rsidP="00A15E6D">
      <w:pPr>
        <w:spacing w:after="0" w:line="360" w:lineRule="auto"/>
        <w:ind w:firstLine="630"/>
        <w:jc w:val="both"/>
        <w:rPr>
          <w:rFonts w:ascii="Times New Roman" w:hAnsi="Times New Roman" w:cs="Times New Roman"/>
          <w:sz w:val="24"/>
          <w:szCs w:val="24"/>
        </w:rPr>
      </w:pPr>
      <w:r w:rsidRPr="00A15E6D">
        <w:rPr>
          <w:rFonts w:ascii="Times New Roman" w:hAnsi="Times New Roman" w:cs="Times New Roman"/>
          <w:sz w:val="24"/>
          <w:szCs w:val="24"/>
        </w:rPr>
        <w:t xml:space="preserve">Sebagai bukti konkret dari kesenjangan normatif yang dianalisis di atas, PLBN Motamasin di Kabupaten Malaka, Nusa Tenggara Timur, yang berbatasan langsung dengan wilayah Timor-Leste, menyajikan gambaran yang representatif. Meskipun PLBN Motamasin telah diresmikan oleh Presiden Republik Indonesia pada 9 Januari 2018 sebagai PLBN Terpadu yang dilengkapi dengan infrastruktur CIQS modern, praktik pelintas batas melalui jalur tidak resmi atau yang dikenal sebagai 'jalan tikus' tetap berlangsung secara masif di </w:t>
      </w:r>
      <w:r w:rsidRPr="00A15E6D">
        <w:rPr>
          <w:rFonts w:ascii="Times New Roman" w:eastAsia="Times New Roman" w:hAnsi="Times New Roman" w:cs="Times New Roman"/>
          <w:color w:val="000000"/>
          <w:sz w:val="24"/>
          <w:szCs w:val="24"/>
        </w:rPr>
        <w:t>sekitar</w:t>
      </w:r>
      <w:r w:rsidRPr="00A15E6D">
        <w:rPr>
          <w:rFonts w:ascii="Times New Roman" w:hAnsi="Times New Roman" w:cs="Times New Roman"/>
          <w:sz w:val="24"/>
          <w:szCs w:val="24"/>
        </w:rPr>
        <w:t xml:space="preserve"> kawasan perbatasan.</w:t>
      </w:r>
    </w:p>
    <w:p w14:paraId="16338CCB" w14:textId="1D49EDAA" w:rsidR="00BA245F" w:rsidRPr="00A15E6D" w:rsidRDefault="00BA245F" w:rsidP="00A15E6D">
      <w:pPr>
        <w:spacing w:after="0" w:line="360" w:lineRule="auto"/>
        <w:ind w:firstLine="630"/>
        <w:jc w:val="both"/>
        <w:rPr>
          <w:rFonts w:ascii="Times New Roman" w:hAnsi="Times New Roman" w:cs="Times New Roman"/>
          <w:sz w:val="24"/>
          <w:szCs w:val="24"/>
        </w:rPr>
      </w:pPr>
      <w:r w:rsidRPr="00A15E6D">
        <w:rPr>
          <w:rFonts w:ascii="Times New Roman" w:hAnsi="Times New Roman" w:cs="Times New Roman"/>
          <w:sz w:val="24"/>
          <w:szCs w:val="24"/>
        </w:rPr>
        <w:t>Fenomena ini bukan sekadar cerminan rendahnya kesadaran hukum masyarakat, melainkan merupakan akibat langsung dari kegagalan sistemik dalam implementasi norma hukum. Pertama, adanya jalur lintas batas tradisional (Jalur C) yang secara de facto telah lama digunakan masyarakat lokal untuk keperluan keluarga dan pertanian, namun belum diintegrasikan secara formal ke dalam sistem pengawasan CIQS. Jalur C ini hanya diawasi oleh Petugas Pengaman Perbatasan (PAMTAS) TNI tanpa kelengkapan sistem CIQS, sehingga secara praktis menjadi titik rentan pengawasan. Kedua, ketiadaan perjanjian bilateral yang memadai antara Indonesia dan Timor-Leste mengenai tata cara pelintas batas tradisional yang berbeda dari perjanjian lintas batas formal menciptakan kekosongan hukum yang dimanf</w:t>
      </w:r>
      <w:r w:rsidR="008A0D7A" w:rsidRPr="00A15E6D">
        <w:rPr>
          <w:rFonts w:ascii="Times New Roman" w:hAnsi="Times New Roman" w:cs="Times New Roman"/>
          <w:sz w:val="24"/>
          <w:szCs w:val="24"/>
        </w:rPr>
        <w:t>aatkan oleh berbagai pihak</w:t>
      </w:r>
    </w:p>
    <w:p w14:paraId="52AD10F3" w14:textId="382F45B6" w:rsidR="00BA245F" w:rsidRPr="00A15E6D" w:rsidRDefault="00BA245F" w:rsidP="00A15E6D">
      <w:pPr>
        <w:spacing w:after="0" w:line="360" w:lineRule="auto"/>
        <w:ind w:firstLine="630"/>
        <w:jc w:val="both"/>
        <w:rPr>
          <w:rFonts w:ascii="Times New Roman" w:hAnsi="Times New Roman" w:cs="Times New Roman"/>
          <w:sz w:val="24"/>
          <w:szCs w:val="24"/>
        </w:rPr>
      </w:pPr>
      <w:r w:rsidRPr="00A15E6D">
        <w:rPr>
          <w:rFonts w:ascii="Times New Roman" w:hAnsi="Times New Roman" w:cs="Times New Roman"/>
          <w:sz w:val="24"/>
          <w:szCs w:val="24"/>
        </w:rPr>
        <w:t>Dalam perspektif UNTOC 2000 yang telah diratifikasi Indonesia, pelintas batas ilegal yang difasilitasi oleh pihak ketiga dapat dikategorikan sebagai tindak pidana penyelundupan migran (smuggling of migrants). Namun, penerapan ketentuan ini memerlukan koordinasi bilateral yang kuat dengan Timor-Leste, yang juga perlu mengharmonisasikan hukum domestiknya dengan ketentuan UNTOC. Ketiadaan mekanisme bilateral yang efektif untuk pertukaran informasi intelijen dan penegakan hukum bersama di perbatasan Indonesia-Timor Leste merupakan salah satu manifestasi paling nyata dari kesenjangan normatif yang dibahas.</w:t>
      </w:r>
    </w:p>
    <w:p w14:paraId="4F6B4D19" w14:textId="77777777" w:rsidR="00A15E6D" w:rsidRDefault="00A15E6D">
      <w:pPr>
        <w:rPr>
          <w:rFonts w:ascii="Times New Roman" w:hAnsi="Times New Roman" w:cs="Times New Roman"/>
          <w:b/>
          <w:bCs/>
          <w:sz w:val="24"/>
          <w:szCs w:val="24"/>
        </w:rPr>
      </w:pPr>
      <w:r>
        <w:rPr>
          <w:rFonts w:ascii="Times New Roman" w:hAnsi="Times New Roman" w:cs="Times New Roman"/>
          <w:b/>
          <w:bCs/>
          <w:sz w:val="24"/>
          <w:szCs w:val="24"/>
        </w:rPr>
        <w:br w:type="page"/>
      </w:r>
    </w:p>
    <w:p w14:paraId="547025E0" w14:textId="38B9EAA3" w:rsidR="00BA245F" w:rsidRPr="00A15E6D" w:rsidRDefault="00BA245F" w:rsidP="00A15E6D">
      <w:pPr>
        <w:spacing w:after="0" w:line="360" w:lineRule="auto"/>
        <w:jc w:val="both"/>
        <w:rPr>
          <w:rFonts w:ascii="Times New Roman" w:hAnsi="Times New Roman" w:cs="Times New Roman"/>
          <w:sz w:val="24"/>
          <w:szCs w:val="24"/>
        </w:rPr>
      </w:pPr>
      <w:r w:rsidRPr="00A15E6D">
        <w:rPr>
          <w:rFonts w:ascii="Times New Roman" w:hAnsi="Times New Roman" w:cs="Times New Roman"/>
          <w:b/>
          <w:bCs/>
          <w:sz w:val="24"/>
          <w:szCs w:val="24"/>
        </w:rPr>
        <w:t>Sengketa Batas Indonesi Timor Leste: Tantangan Prinsip Uti Possidetis Juris</w:t>
      </w:r>
    </w:p>
    <w:p w14:paraId="6D69D5EB" w14:textId="77777777" w:rsidR="00BA245F" w:rsidRPr="00A15E6D" w:rsidRDefault="00BA245F" w:rsidP="00A15E6D">
      <w:pPr>
        <w:spacing w:after="0" w:line="360" w:lineRule="auto"/>
        <w:ind w:firstLine="630"/>
        <w:jc w:val="both"/>
        <w:rPr>
          <w:rFonts w:ascii="Times New Roman" w:hAnsi="Times New Roman" w:cs="Times New Roman"/>
          <w:sz w:val="24"/>
          <w:szCs w:val="24"/>
        </w:rPr>
      </w:pPr>
      <w:r w:rsidRPr="00A15E6D">
        <w:rPr>
          <w:rFonts w:ascii="Times New Roman" w:hAnsi="Times New Roman" w:cs="Times New Roman"/>
          <w:sz w:val="24"/>
          <w:szCs w:val="24"/>
        </w:rPr>
        <w:t xml:space="preserve">Persoalan yang belum terselesaikan mengenai batas wilayah di segmen Noel Besi Citrana dan Bidjael Sunan Oben antara Indonesia dan Timor-Leste merupakan dimensi lain dari kesenjangan normatif yang memiliki implikasi hukum langsung terhadap operasional PLBN. Kedua segmen ini merupakan warisan interpretasi yang berbeda atas perjanjian kolonial Belanda-Portugal yang </w:t>
      </w:r>
      <w:r w:rsidRPr="00A15E6D">
        <w:rPr>
          <w:rFonts w:ascii="Times New Roman" w:eastAsia="Times New Roman" w:hAnsi="Times New Roman" w:cs="Times New Roman"/>
          <w:color w:val="000000"/>
          <w:sz w:val="24"/>
          <w:szCs w:val="24"/>
        </w:rPr>
        <w:t>ditandatangani</w:t>
      </w:r>
      <w:r w:rsidRPr="00A15E6D">
        <w:rPr>
          <w:rFonts w:ascii="Times New Roman" w:hAnsi="Times New Roman" w:cs="Times New Roman"/>
          <w:sz w:val="24"/>
          <w:szCs w:val="24"/>
        </w:rPr>
        <w:t xml:space="preserve"> antara tahun 1859 hingga 1904, yang menjadi acuan prinsip uti possidetis juris pasca-kemerdekaan.</w:t>
      </w:r>
    </w:p>
    <w:p w14:paraId="10408685" w14:textId="08921E61" w:rsidR="00BA245F" w:rsidRPr="00A15E6D" w:rsidRDefault="00BA245F" w:rsidP="00A15E6D">
      <w:pPr>
        <w:spacing w:after="0" w:line="360" w:lineRule="auto"/>
        <w:ind w:firstLine="630"/>
        <w:jc w:val="both"/>
        <w:rPr>
          <w:rFonts w:ascii="Times New Roman" w:hAnsi="Times New Roman" w:cs="Times New Roman"/>
          <w:sz w:val="24"/>
          <w:szCs w:val="24"/>
        </w:rPr>
      </w:pPr>
      <w:r w:rsidRPr="00A15E6D">
        <w:rPr>
          <w:rFonts w:ascii="Times New Roman" w:hAnsi="Times New Roman" w:cs="Times New Roman"/>
          <w:sz w:val="24"/>
          <w:szCs w:val="24"/>
        </w:rPr>
        <w:t>Ambiguitas batas wilayah di segmen-segmen ini secara langsung mempengaruhi legitimasi operasional PLBN di kawasan tersebut, karena yurisdiksi yang belum final menciptakan ruang abu-abu hukum bagi petugas PLBN dalam menentukan garis batas pemeriksaan. Pasal 33 Piagam PBB mewajibkan penyelesaian sengketa secara damai, dan mekanisme yang paling tepat bagi kasus ini adalah negosiasi bilateral yang difasilitasi oleh prinsip-prinsip hukum internasional. Meskipun sebagian besar segmen batas telah disepakati, keberadaan segmen yang belum terselesaikan ini terus menjadi hambatan struktural bagi pengelolaan PLBN yang efektif dan kepastian hukum bagi masyarakat perbatasan.</w:t>
      </w:r>
    </w:p>
    <w:p w14:paraId="16755065" w14:textId="68A418BF" w:rsidR="00BA245F" w:rsidRPr="00A15E6D" w:rsidRDefault="00BA245F" w:rsidP="00A15E6D">
      <w:pPr>
        <w:spacing w:after="0" w:line="360" w:lineRule="auto"/>
        <w:ind w:firstLine="630"/>
        <w:jc w:val="both"/>
        <w:rPr>
          <w:rFonts w:ascii="Times New Roman" w:hAnsi="Times New Roman" w:cs="Times New Roman"/>
          <w:sz w:val="24"/>
          <w:szCs w:val="24"/>
        </w:rPr>
      </w:pPr>
      <w:r w:rsidRPr="00A15E6D">
        <w:rPr>
          <w:rFonts w:ascii="Times New Roman" w:hAnsi="Times New Roman" w:cs="Times New Roman"/>
          <w:sz w:val="24"/>
          <w:szCs w:val="24"/>
        </w:rPr>
        <w:t xml:space="preserve">Konsekuensi hukum dari situasi ini adalah bahwa dalam segmen yang masih dipersengketakan, konsep </w:t>
      </w:r>
      <w:r w:rsidRPr="00A15E6D">
        <w:rPr>
          <w:rFonts w:ascii="Times New Roman" w:hAnsi="Times New Roman" w:cs="Times New Roman"/>
          <w:i/>
          <w:iCs/>
          <w:sz w:val="24"/>
          <w:szCs w:val="24"/>
        </w:rPr>
        <w:t>effective control</w:t>
      </w:r>
      <w:r w:rsidRPr="00A15E6D">
        <w:rPr>
          <w:rFonts w:ascii="Times New Roman" w:hAnsi="Times New Roman" w:cs="Times New Roman"/>
          <w:sz w:val="24"/>
          <w:szCs w:val="24"/>
        </w:rPr>
        <w:t xml:space="preserve"> sebagai salah satu dasar penetapan kedaulatan dalam hukum internasional menjadi relevan untuk diperhatikan. Keberadaan dan operasional PLBN Indonesia di kawasan perbatasan merupakan salah satu bentuk </w:t>
      </w:r>
      <w:r w:rsidRPr="00A15E6D">
        <w:rPr>
          <w:rFonts w:ascii="Times New Roman" w:eastAsia="Times New Roman" w:hAnsi="Times New Roman" w:cs="Times New Roman"/>
          <w:color w:val="000000"/>
          <w:sz w:val="24"/>
          <w:szCs w:val="24"/>
        </w:rPr>
        <w:t>pelaksanaan</w:t>
      </w:r>
      <w:r w:rsidRPr="00A15E6D">
        <w:rPr>
          <w:rFonts w:ascii="Times New Roman" w:hAnsi="Times New Roman" w:cs="Times New Roman"/>
          <w:sz w:val="24"/>
          <w:szCs w:val="24"/>
        </w:rPr>
        <w:t xml:space="preserve"> effective control yang dapat mendukung posisi hukum Indonesia dalam proses negosiasi bilateral. Oleh karena itu, memperkuat kehadiran dan kapasitas PLBN secara hukum tidak hanya bermakna dari aspek pelayanan publik, tetapi juga merupakan strategi hukum dalam memperkuat klaim kedaulatan Indonesia.</w:t>
      </w:r>
    </w:p>
    <w:p w14:paraId="2D99EF63" w14:textId="4A2500E5" w:rsidR="00BA245F" w:rsidRPr="00A15E6D" w:rsidRDefault="00BA245F" w:rsidP="00A15E6D">
      <w:pPr>
        <w:spacing w:after="0" w:line="360" w:lineRule="auto"/>
        <w:jc w:val="both"/>
        <w:rPr>
          <w:rFonts w:ascii="Times New Roman" w:hAnsi="Times New Roman" w:cs="Times New Roman"/>
          <w:sz w:val="24"/>
          <w:szCs w:val="24"/>
        </w:rPr>
      </w:pPr>
      <w:r w:rsidRPr="00A15E6D">
        <w:rPr>
          <w:rFonts w:ascii="Times New Roman" w:hAnsi="Times New Roman" w:cs="Times New Roman"/>
          <w:b/>
          <w:bCs/>
          <w:sz w:val="24"/>
          <w:szCs w:val="24"/>
        </w:rPr>
        <w:t>Faktor Hukum Disharmonisasi Regulasi dan Model Solusi Harmonisasi</w:t>
      </w:r>
    </w:p>
    <w:p w14:paraId="05816164" w14:textId="77777777" w:rsidR="00BA245F" w:rsidRPr="00A15E6D" w:rsidRDefault="00BA245F" w:rsidP="00A15E6D">
      <w:pPr>
        <w:spacing w:after="0" w:line="360" w:lineRule="auto"/>
        <w:ind w:firstLine="630"/>
        <w:jc w:val="both"/>
        <w:rPr>
          <w:rFonts w:ascii="Times New Roman" w:hAnsi="Times New Roman" w:cs="Times New Roman"/>
          <w:sz w:val="24"/>
          <w:szCs w:val="24"/>
        </w:rPr>
      </w:pPr>
      <w:r w:rsidRPr="00A15E6D">
        <w:rPr>
          <w:rFonts w:ascii="Times New Roman" w:hAnsi="Times New Roman" w:cs="Times New Roman"/>
          <w:sz w:val="24"/>
          <w:szCs w:val="24"/>
        </w:rPr>
        <w:t>Berdasarkan analisis di atas, setidaknya terdapat lima faktor hukum yang secara sistemik menyebabkan disharmonisasi regulasi dalam pengelolaan PLBN. Pertama, absennya mekanisme hukum yang sistematis untuk mengintegrasikan kewajiban perjanjian internasional ke dalam regulasi teknis operasional PLBN. Indonesia telah meratifikasi berbagai konvensi internasional yang relevan, namun penerjemahan kewajiban-kewajiban tersebut ke dalam prosedur operasional standar (SOP) PLBN belum dilakukan secara terstruktur dan komprehensif. Kedua, kelemahan konstruksi kelembagaan BNPP yang bersifat koordinatif tanpa kewenangan eksekutif langsung, sehingga harmonisasi lintas sektoral dalam sistem CIQS tidak dapat dipaksakan secara hukum kepada masing-masing kementerian teknis.</w:t>
      </w:r>
    </w:p>
    <w:p w14:paraId="4F81E430" w14:textId="77777777" w:rsidR="00BA245F" w:rsidRPr="00A15E6D" w:rsidRDefault="00BA245F" w:rsidP="00A15E6D">
      <w:pPr>
        <w:spacing w:after="0" w:line="360" w:lineRule="auto"/>
        <w:ind w:firstLine="630"/>
        <w:jc w:val="both"/>
        <w:rPr>
          <w:rFonts w:ascii="Times New Roman" w:hAnsi="Times New Roman" w:cs="Times New Roman"/>
          <w:sz w:val="24"/>
          <w:szCs w:val="24"/>
        </w:rPr>
      </w:pPr>
      <w:r w:rsidRPr="00A15E6D">
        <w:rPr>
          <w:rFonts w:ascii="Times New Roman" w:hAnsi="Times New Roman" w:cs="Times New Roman"/>
          <w:sz w:val="24"/>
          <w:szCs w:val="24"/>
        </w:rPr>
        <w:t>Ketiga, ketidaklengkapan perjanjian bilateral sebagai landasan hukum operasional. Berbeda dengan perbatasan Indonesia-Malaysia yang telah memiliki Border Crossing Agreement (BCA) meskipun belum sempurna harmonisasinya, perbatasan Indonesia-Timor Leste belum memiliki kerangka hukum bilateral yang komprehensif, khususnya mengenai tata kelola pelintas batas tradisional. Keempat, keterbatasan kapasitas sumber daya manusia di PLBN yang tidak hanya terkait dengan jumlah personel, tetapi juga pemahaman mendalam terhadap instrumen hukum internasional yang relevan. Kelima, belum rampungnya proses delimitasi dan demarcasi di beberapa segmen batas darat yang menciptakan ambiguitas yurisdiksi di lapangan.</w:t>
      </w:r>
    </w:p>
    <w:p w14:paraId="6E3CE3C5" w14:textId="77777777" w:rsidR="00BA245F" w:rsidRPr="00A15E6D" w:rsidRDefault="00BA245F" w:rsidP="00A15E6D">
      <w:pPr>
        <w:spacing w:after="0" w:line="360" w:lineRule="auto"/>
        <w:ind w:firstLine="630"/>
        <w:jc w:val="both"/>
        <w:rPr>
          <w:rFonts w:ascii="Times New Roman" w:hAnsi="Times New Roman" w:cs="Times New Roman"/>
          <w:sz w:val="24"/>
          <w:szCs w:val="24"/>
        </w:rPr>
      </w:pPr>
      <w:r w:rsidRPr="00A15E6D">
        <w:rPr>
          <w:rFonts w:ascii="Times New Roman" w:hAnsi="Times New Roman" w:cs="Times New Roman"/>
          <w:sz w:val="24"/>
          <w:szCs w:val="24"/>
        </w:rPr>
        <w:t xml:space="preserve">Untuk mengatasi </w:t>
      </w:r>
      <w:r w:rsidRPr="00A15E6D">
        <w:rPr>
          <w:rFonts w:ascii="Times New Roman" w:eastAsia="Times New Roman" w:hAnsi="Times New Roman" w:cs="Times New Roman"/>
          <w:color w:val="000000"/>
          <w:sz w:val="24"/>
          <w:szCs w:val="24"/>
        </w:rPr>
        <w:t>disharmonisasi</w:t>
      </w:r>
      <w:r w:rsidRPr="00A15E6D">
        <w:rPr>
          <w:rFonts w:ascii="Times New Roman" w:hAnsi="Times New Roman" w:cs="Times New Roman"/>
          <w:sz w:val="24"/>
          <w:szCs w:val="24"/>
        </w:rPr>
        <w:t xml:space="preserve"> ini, penelitian ini mengusulkan model harmonisasi regulasi berbasis hierarki norma yang terdiri dari tiga tingkatan. Pada tingkat pertama (level internasional), Indonesia perlu mengintensifkan proses negosiasi bilateral untuk menghasilkan perjanjian-perjanjian yang lebih komprehensif dengan Malaysia dan Timor-Leste, yang secara eksplisit mengacu pada standar instrumen hukum internasional seperti Revised Kyoto Convention, IHR 2005, dan UNTOC. Pada tingkat kedua (level nasional), diperlukan perubahan regulasi yang memberikan BNPP kewenangan eksekutif yang lebih kuat dalam mengordinasikan sistem CIQS, termasuk kewenangan untuk menerbitkan regulasi teknis bersama yang mengikat seluruh kementerian terkait. Pada tingkat ketiga (level operasional), perlu dikembangkan SOP PLBN yang secara eksplisit mengintegrasikan kewajiban internasional ke dalam prosedur teknis lapangan, disertai program pelatihan yang terstandar dan berkelanjutan bagi seluruh petugas PLBN.</w:t>
      </w:r>
    </w:p>
    <w:p w14:paraId="0D68A03E" w14:textId="2B5A4794" w:rsidR="003C085F" w:rsidRDefault="00BA245F" w:rsidP="00A15E6D">
      <w:pPr>
        <w:spacing w:after="0" w:line="360" w:lineRule="auto"/>
        <w:ind w:firstLine="630"/>
        <w:jc w:val="both"/>
        <w:rPr>
          <w:rFonts w:ascii="Times New Roman" w:hAnsi="Times New Roman" w:cs="Times New Roman"/>
          <w:sz w:val="24"/>
          <w:szCs w:val="24"/>
        </w:rPr>
      </w:pPr>
      <w:r w:rsidRPr="00A15E6D">
        <w:rPr>
          <w:rFonts w:ascii="Times New Roman" w:hAnsi="Times New Roman" w:cs="Times New Roman"/>
          <w:sz w:val="24"/>
          <w:szCs w:val="24"/>
        </w:rPr>
        <w:t xml:space="preserve">Konsep desentralisasi asimetris sebagai instrumen pelengkap juga relevan diterapkan dalam konteks ini. Pemberian kewenangan khusus kepada pemerintah daerah perbatasan untuk terlibat dalam kerja sama lintas batas dalam koridor yang ditetapkan pemerintah pusat </w:t>
      </w:r>
      <w:r w:rsidRPr="00A15E6D">
        <w:rPr>
          <w:rFonts w:ascii="Times New Roman" w:eastAsia="Times New Roman" w:hAnsi="Times New Roman" w:cs="Times New Roman"/>
          <w:color w:val="000000"/>
          <w:sz w:val="24"/>
          <w:szCs w:val="24"/>
        </w:rPr>
        <w:t>tidak</w:t>
      </w:r>
      <w:r w:rsidRPr="00A15E6D">
        <w:rPr>
          <w:rFonts w:ascii="Times New Roman" w:hAnsi="Times New Roman" w:cs="Times New Roman"/>
          <w:sz w:val="24"/>
          <w:szCs w:val="24"/>
        </w:rPr>
        <w:t xml:space="preserve"> hanya akan meningkatkan efektivitas pengelolaan PLBN, tetapi juga sejalan dengan semangat otonomi daerah dalam kerangka Negara Kesatuan Republik Indonesia. Tentu saja, pelaksanaannya harus selalu dalam koridor yang ditetapkan pemerintah pusat agar tidak berbenturan dengan kewajiban internasional Indonesia.</w:t>
      </w:r>
      <w:r w:rsidR="008A0D7A" w:rsidRPr="00A15E6D">
        <w:rPr>
          <w:rFonts w:ascii="Times New Roman" w:hAnsi="Times New Roman" w:cs="Times New Roman"/>
          <w:sz w:val="24"/>
          <w:szCs w:val="24"/>
        </w:rPr>
        <w:t xml:space="preserve">         </w:t>
      </w:r>
      <w:r w:rsidRPr="00A15E6D">
        <w:rPr>
          <w:rFonts w:ascii="Times New Roman" w:hAnsi="Times New Roman" w:cs="Times New Roman"/>
          <w:sz w:val="24"/>
          <w:szCs w:val="24"/>
        </w:rPr>
        <w:t xml:space="preserve">   </w:t>
      </w:r>
    </w:p>
    <w:p w14:paraId="646E26CD" w14:textId="77777777" w:rsidR="00A15E6D" w:rsidRPr="00A15E6D" w:rsidRDefault="00A15E6D" w:rsidP="00A15E6D">
      <w:pPr>
        <w:spacing w:after="0" w:line="360" w:lineRule="auto"/>
        <w:ind w:firstLine="630"/>
        <w:jc w:val="both"/>
        <w:rPr>
          <w:rFonts w:ascii="Times New Roman" w:hAnsi="Times New Roman" w:cs="Times New Roman"/>
          <w:sz w:val="24"/>
          <w:szCs w:val="24"/>
        </w:rPr>
      </w:pPr>
    </w:p>
    <w:p w14:paraId="01D827D2" w14:textId="77777777" w:rsidR="003C085F" w:rsidRPr="00A15E6D" w:rsidRDefault="00A444B1" w:rsidP="00A15E6D">
      <w:pPr>
        <w:numPr>
          <w:ilvl w:val="0"/>
          <w:numId w:val="2"/>
        </w:numPr>
        <w:pBdr>
          <w:top w:val="nil"/>
          <w:left w:val="nil"/>
          <w:bottom w:val="nil"/>
          <w:right w:val="nil"/>
          <w:between w:val="nil"/>
        </w:pBdr>
        <w:spacing w:after="0" w:line="360" w:lineRule="auto"/>
        <w:ind w:left="360"/>
        <w:rPr>
          <w:rFonts w:ascii="Times New Roman" w:eastAsia="Times New Roman" w:hAnsi="Times New Roman" w:cs="Times New Roman"/>
          <w:b/>
          <w:bCs/>
          <w:color w:val="000000"/>
          <w:sz w:val="24"/>
          <w:szCs w:val="24"/>
        </w:rPr>
      </w:pPr>
      <w:r w:rsidRPr="00A15E6D">
        <w:rPr>
          <w:rFonts w:ascii="Times New Roman" w:eastAsia="Times New Roman" w:hAnsi="Times New Roman" w:cs="Times New Roman"/>
          <w:b/>
          <w:bCs/>
          <w:color w:val="000000"/>
          <w:sz w:val="24"/>
          <w:szCs w:val="24"/>
        </w:rPr>
        <w:t>KESIMPULAN DAN SARAN</w:t>
      </w:r>
    </w:p>
    <w:p w14:paraId="3A40570C" w14:textId="77777777" w:rsidR="00BA245F" w:rsidRPr="00A15E6D" w:rsidRDefault="00BA245F" w:rsidP="00A15E6D">
      <w:pPr>
        <w:spacing w:after="0" w:line="360" w:lineRule="auto"/>
        <w:ind w:firstLine="630"/>
        <w:jc w:val="both"/>
        <w:rPr>
          <w:rFonts w:ascii="Times New Roman" w:hAnsi="Times New Roman" w:cs="Times New Roman"/>
          <w:sz w:val="24"/>
          <w:szCs w:val="24"/>
        </w:rPr>
      </w:pPr>
      <w:r w:rsidRPr="00A15E6D">
        <w:rPr>
          <w:rFonts w:ascii="Times New Roman" w:hAnsi="Times New Roman" w:cs="Times New Roman"/>
          <w:sz w:val="24"/>
          <w:szCs w:val="24"/>
        </w:rPr>
        <w:t>Penelitian ini telah mengidentifikasi bahwa pengelolaan PLBN di wilayah perbatasan darat Indonesia menghadapi persoalan hukum yang bersifat struktural, yaitu adanya kesenjangan normatif pada tiga lapisan sekaligus: antara kewajiban konvensi internasional dengan regulasi nasional, antara regulasi nasional dengan kapasitas implementasinya, dan antara perjanjian bilateral dengan praktik operasional di lapangan. Defisit hukum struktural ini tercermin secara konkret dalam kasus pelanggaran lintas batas di PLBN Motamasin, ketidaksetaraan implementasi sistem CIQS antara PLBN Jalur A dan jalur tradisional, serta ambiguitas yurisdiksi akibat sengketa batas yang belum terselesaikan di segmen Indonesia-Timor Leste.</w:t>
      </w:r>
    </w:p>
    <w:p w14:paraId="5158380E" w14:textId="77777777" w:rsidR="00BA245F" w:rsidRPr="00A15E6D" w:rsidRDefault="00BA245F" w:rsidP="00A15E6D">
      <w:pPr>
        <w:spacing w:after="0" w:line="360" w:lineRule="auto"/>
        <w:ind w:firstLine="630"/>
        <w:jc w:val="both"/>
        <w:rPr>
          <w:rFonts w:ascii="Times New Roman" w:hAnsi="Times New Roman" w:cs="Times New Roman"/>
          <w:sz w:val="24"/>
          <w:szCs w:val="24"/>
        </w:rPr>
      </w:pPr>
      <w:r w:rsidRPr="00A15E6D">
        <w:rPr>
          <w:rFonts w:ascii="Times New Roman" w:hAnsi="Times New Roman" w:cs="Times New Roman"/>
          <w:sz w:val="24"/>
          <w:szCs w:val="24"/>
        </w:rPr>
        <w:t>Lima faktor hukum utama yang berkontribusi pada disharmonisasi regulasi adalah: (1) absennya mekanisme translasi sistematis dari kewajiban internasional ke SOP operasional; (2) kelemahan kelembagaan BNPP yang bersifat koordinatif semata; (3) ketidaklengkapan perjanjian bilateral; (4) keterbatasan kapasitas SDM dalam memahami instrumen hukum internasional; dan (5) belum rampungnya proses delimitasi batas di beberapa segmen. Untuk mengatasinya, penelitian ini merekomendasikan model harmonisasi regulasi tiga tingkat yang mengintegrasikan pendekatan diplomatik, reformasi kelembagaan, dan pembenahan SOP operasional. Penguatan legal capacity di tingkat PLBN melalui program pelatihan berbasis instrumen internasional juga merupakan kebutuhan mendesak yang tidak dapat ditunda.</w:t>
      </w:r>
    </w:p>
    <w:p w14:paraId="26B24A8E" w14:textId="77777777" w:rsidR="003C085F" w:rsidRPr="00A15E6D" w:rsidRDefault="003C085F" w:rsidP="00A15E6D">
      <w:pPr>
        <w:spacing w:after="0" w:line="360" w:lineRule="auto"/>
        <w:rPr>
          <w:rFonts w:ascii="Times New Roman" w:eastAsia="Times New Roman" w:hAnsi="Times New Roman" w:cs="Times New Roman"/>
          <w:sz w:val="24"/>
          <w:szCs w:val="24"/>
        </w:rPr>
      </w:pPr>
    </w:p>
    <w:p w14:paraId="20E2F32B" w14:textId="77777777" w:rsidR="003C085F" w:rsidRPr="00A15E6D" w:rsidRDefault="00A444B1" w:rsidP="00A15E6D">
      <w:pPr>
        <w:spacing w:after="0" w:line="360" w:lineRule="auto"/>
        <w:rPr>
          <w:rFonts w:ascii="Times New Roman" w:eastAsia="Times New Roman" w:hAnsi="Times New Roman" w:cs="Times New Roman"/>
          <w:b/>
          <w:bCs/>
          <w:sz w:val="24"/>
          <w:szCs w:val="24"/>
        </w:rPr>
      </w:pPr>
      <w:r w:rsidRPr="00A15E6D">
        <w:rPr>
          <w:rFonts w:ascii="Times New Roman" w:eastAsia="Times New Roman" w:hAnsi="Times New Roman" w:cs="Times New Roman"/>
          <w:b/>
          <w:bCs/>
          <w:sz w:val="24"/>
          <w:szCs w:val="24"/>
        </w:rPr>
        <w:t>DAFTAR REFERENSI</w:t>
      </w:r>
    </w:p>
    <w:p w14:paraId="72A6EB74" w14:textId="77777777" w:rsidR="00A15E6D" w:rsidRPr="00A15E6D" w:rsidRDefault="00A15E6D" w:rsidP="00A15E6D">
      <w:pPr>
        <w:spacing w:after="120" w:line="240" w:lineRule="auto"/>
        <w:ind w:left="851" w:hanging="851"/>
        <w:jc w:val="both"/>
        <w:rPr>
          <w:rFonts w:ascii="Times New Roman" w:eastAsia="Cambria" w:hAnsi="Times New Roman" w:cs="Times New Roman"/>
          <w:sz w:val="24"/>
          <w:szCs w:val="24"/>
        </w:rPr>
      </w:pPr>
      <w:r w:rsidRPr="00A15E6D">
        <w:rPr>
          <w:rFonts w:ascii="Times New Roman" w:eastAsia="Cambria" w:hAnsi="Times New Roman" w:cs="Times New Roman"/>
          <w:sz w:val="24"/>
          <w:szCs w:val="24"/>
        </w:rPr>
        <w:t>Badan Nasional Pengelola Perbatasan Republik Indonesia. (2026). Kajian BNPP tentang pengelolaan PLBN terpadu. BNPP RI</w:t>
      </w:r>
    </w:p>
    <w:p w14:paraId="08A3C325" w14:textId="77777777" w:rsidR="00A15E6D" w:rsidRPr="00A15E6D" w:rsidRDefault="00A15E6D" w:rsidP="00A15E6D">
      <w:pPr>
        <w:spacing w:after="120" w:line="240" w:lineRule="auto"/>
        <w:ind w:left="851" w:hanging="851"/>
        <w:jc w:val="both"/>
        <w:rPr>
          <w:rFonts w:ascii="Times New Roman" w:eastAsia="Cambria" w:hAnsi="Times New Roman" w:cs="Times New Roman"/>
          <w:sz w:val="24"/>
          <w:szCs w:val="24"/>
        </w:rPr>
      </w:pPr>
      <w:r w:rsidRPr="00A15E6D">
        <w:rPr>
          <w:rFonts w:ascii="Times New Roman" w:eastAsia="Cambria" w:hAnsi="Times New Roman" w:cs="Times New Roman"/>
          <w:sz w:val="24"/>
          <w:szCs w:val="24"/>
        </w:rPr>
        <w:t>Badan Penelitian &amp; Kementerian Hukum. (2018). Optimalisasi pos lintas batas tradisional dalam pelaksanaan fungsi keimigrasian studi kasus Imigrasi Entikong (Optimization of traditional cross-border post in the implementation of immigration functions immigration study case: Entikong). Portal Kementerian Luar Negeri, 57–72.</w:t>
      </w:r>
    </w:p>
    <w:p w14:paraId="0D821B9D" w14:textId="77777777" w:rsidR="00A15E6D" w:rsidRPr="00A15E6D" w:rsidRDefault="00A15E6D" w:rsidP="00A15E6D">
      <w:pPr>
        <w:spacing w:after="120" w:line="240" w:lineRule="auto"/>
        <w:ind w:left="851" w:hanging="851"/>
        <w:jc w:val="both"/>
        <w:rPr>
          <w:rFonts w:ascii="Times New Roman" w:eastAsia="Cambria" w:hAnsi="Times New Roman" w:cs="Times New Roman"/>
          <w:sz w:val="24"/>
          <w:szCs w:val="24"/>
        </w:rPr>
      </w:pPr>
      <w:r w:rsidRPr="00A15E6D">
        <w:rPr>
          <w:rFonts w:ascii="Times New Roman" w:eastAsia="Cambria" w:hAnsi="Times New Roman" w:cs="Times New Roman"/>
          <w:sz w:val="24"/>
          <w:szCs w:val="24"/>
        </w:rPr>
        <w:t>Bangun, B. H. (2017). Konsepsi dan pengelolaan wilayah perbatasan negara: Perspektif hukum internasional. Tanjung Pura, 1(1), 52–63.</w:t>
      </w:r>
    </w:p>
    <w:p w14:paraId="536A2037" w14:textId="77777777" w:rsidR="00A15E6D" w:rsidRPr="00A15E6D" w:rsidRDefault="00A15E6D" w:rsidP="00A15E6D">
      <w:pPr>
        <w:spacing w:after="120" w:line="240" w:lineRule="auto"/>
        <w:ind w:left="851" w:hanging="851"/>
        <w:jc w:val="both"/>
        <w:rPr>
          <w:rFonts w:ascii="Times New Roman" w:eastAsia="Cambria" w:hAnsi="Times New Roman" w:cs="Times New Roman"/>
          <w:sz w:val="24"/>
          <w:szCs w:val="24"/>
        </w:rPr>
      </w:pPr>
      <w:r w:rsidRPr="00A15E6D">
        <w:rPr>
          <w:rFonts w:ascii="Times New Roman" w:eastAsia="Cambria" w:hAnsi="Times New Roman" w:cs="Times New Roman"/>
          <w:sz w:val="24"/>
          <w:szCs w:val="24"/>
        </w:rPr>
        <w:t>BNPP. (2024). Standar operasional prosedur perlintasan di luar jam pelayanan di Pos Lintas Batas Negara Motamasin. Scribd. SOP Pembukaan Portal di Luar Jam Pelayanan</w:t>
      </w:r>
    </w:p>
    <w:p w14:paraId="2962B114" w14:textId="77777777" w:rsidR="00A15E6D" w:rsidRPr="00A15E6D" w:rsidRDefault="00A15E6D" w:rsidP="00A15E6D">
      <w:pPr>
        <w:spacing w:after="120" w:line="240" w:lineRule="auto"/>
        <w:ind w:left="851" w:hanging="851"/>
        <w:jc w:val="both"/>
        <w:rPr>
          <w:rFonts w:ascii="Times New Roman" w:eastAsia="Cambria" w:hAnsi="Times New Roman" w:cs="Times New Roman"/>
          <w:sz w:val="24"/>
          <w:szCs w:val="24"/>
        </w:rPr>
      </w:pPr>
      <w:r w:rsidRPr="00A15E6D">
        <w:rPr>
          <w:rFonts w:ascii="Times New Roman" w:eastAsia="Cambria" w:hAnsi="Times New Roman" w:cs="Times New Roman"/>
          <w:sz w:val="24"/>
          <w:szCs w:val="24"/>
        </w:rPr>
        <w:t>Bodin, J. (1576). Kedaulatan merupakan kekuasaan tertinggi yang bersifat tidak terbagi dalam suatu negara. Jurnal Hukum dan Politik. Jean Bodin Scribd</w:t>
      </w:r>
    </w:p>
    <w:p w14:paraId="4A30109A" w14:textId="77777777" w:rsidR="00A15E6D" w:rsidRPr="00A15E6D" w:rsidRDefault="00A15E6D" w:rsidP="00A15E6D">
      <w:pPr>
        <w:spacing w:after="120" w:line="240" w:lineRule="auto"/>
        <w:ind w:left="851" w:hanging="851"/>
        <w:jc w:val="both"/>
        <w:rPr>
          <w:rFonts w:ascii="Times New Roman" w:eastAsia="Cambria" w:hAnsi="Times New Roman" w:cs="Times New Roman"/>
          <w:sz w:val="24"/>
          <w:szCs w:val="24"/>
        </w:rPr>
      </w:pPr>
      <w:r w:rsidRPr="00A15E6D">
        <w:rPr>
          <w:rFonts w:ascii="Times New Roman" w:eastAsia="Cambria" w:hAnsi="Times New Roman" w:cs="Times New Roman"/>
          <w:sz w:val="24"/>
          <w:szCs w:val="24"/>
        </w:rPr>
        <w:t>Ekon, M. P. Y. (2020). Penerapan prinsip uti possidetis juris dalam penetapan batas darat Indonesia dan Timor Leste. Jurnal Bina Mulia Hukum, 5(2), 196–219.</w:t>
      </w:r>
    </w:p>
    <w:p w14:paraId="30F9B099" w14:textId="77777777" w:rsidR="00A15E6D" w:rsidRPr="00A15E6D" w:rsidRDefault="00A15E6D" w:rsidP="00A15E6D">
      <w:pPr>
        <w:spacing w:after="120" w:line="240" w:lineRule="auto"/>
        <w:ind w:left="851" w:hanging="851"/>
        <w:jc w:val="both"/>
        <w:rPr>
          <w:rFonts w:ascii="Times New Roman" w:eastAsia="Cambria" w:hAnsi="Times New Roman" w:cs="Times New Roman"/>
          <w:sz w:val="24"/>
          <w:szCs w:val="24"/>
        </w:rPr>
      </w:pPr>
      <w:r w:rsidRPr="00A15E6D">
        <w:rPr>
          <w:rFonts w:ascii="Times New Roman" w:eastAsia="Cambria" w:hAnsi="Times New Roman" w:cs="Times New Roman"/>
          <w:sz w:val="24"/>
          <w:szCs w:val="24"/>
        </w:rPr>
        <w:t>Faso, B., &amp; Mali. (1986). Kasus Burkina Faso v. Mali (1986). Scribd. Case Digest Burkina Faso v Mali</w:t>
      </w:r>
    </w:p>
    <w:p w14:paraId="75F8B073" w14:textId="77777777" w:rsidR="00A15E6D" w:rsidRPr="00A15E6D" w:rsidRDefault="00A15E6D" w:rsidP="00A15E6D">
      <w:pPr>
        <w:spacing w:after="120" w:line="240" w:lineRule="auto"/>
        <w:ind w:left="851" w:hanging="851"/>
        <w:jc w:val="both"/>
        <w:rPr>
          <w:rFonts w:ascii="Times New Roman" w:eastAsia="Cambria" w:hAnsi="Times New Roman" w:cs="Times New Roman"/>
          <w:sz w:val="24"/>
          <w:szCs w:val="24"/>
        </w:rPr>
      </w:pPr>
      <w:r w:rsidRPr="00A15E6D">
        <w:rPr>
          <w:rFonts w:ascii="Times New Roman" w:eastAsia="Cambria" w:hAnsi="Times New Roman" w:cs="Times New Roman"/>
          <w:sz w:val="24"/>
          <w:szCs w:val="24"/>
        </w:rPr>
        <w:t>Gokok, M. V. G., Nurgiyanti, T., Amini, D. S., &amp; Subandi, Y. (2023). Peran Pos Lintas Batas Negara Motamasin dalam mengatasi imigran ilegal di wilayah perbatasan RI-RDTL. SOSMANIORA: Jurnal Ilmu Sosial dan Humaniora, 2(1), 54–59. https://doi.org/10.55123/sosmaniora.v2i1.1695</w:t>
      </w:r>
    </w:p>
    <w:p w14:paraId="609627EF" w14:textId="77777777" w:rsidR="00A15E6D" w:rsidRPr="00A15E6D" w:rsidRDefault="00A15E6D" w:rsidP="00A15E6D">
      <w:pPr>
        <w:spacing w:after="120" w:line="240" w:lineRule="auto"/>
        <w:ind w:left="851" w:hanging="851"/>
        <w:jc w:val="both"/>
        <w:rPr>
          <w:rFonts w:ascii="Times New Roman" w:eastAsia="Cambria" w:hAnsi="Times New Roman" w:cs="Times New Roman"/>
          <w:sz w:val="24"/>
          <w:szCs w:val="24"/>
        </w:rPr>
      </w:pPr>
      <w:r w:rsidRPr="00A15E6D">
        <w:rPr>
          <w:rFonts w:ascii="Times New Roman" w:eastAsia="Cambria" w:hAnsi="Times New Roman" w:cs="Times New Roman"/>
          <w:sz w:val="24"/>
          <w:szCs w:val="24"/>
        </w:rPr>
        <w:t>Herin, F. F. (2025). Sengketa batas Indonesia dan Timor Leste sudah terjadi sejak 2005. Kompas.id. Kompas.id Sengketa Batas Indonesia Timor Leste</w:t>
      </w:r>
    </w:p>
    <w:p w14:paraId="7B86D4E9" w14:textId="77777777" w:rsidR="00A15E6D" w:rsidRPr="00A15E6D" w:rsidRDefault="00A15E6D" w:rsidP="00A15E6D">
      <w:pPr>
        <w:spacing w:after="120" w:line="240" w:lineRule="auto"/>
        <w:ind w:left="851" w:hanging="851"/>
        <w:jc w:val="both"/>
        <w:rPr>
          <w:rFonts w:ascii="Times New Roman" w:eastAsia="Cambria" w:hAnsi="Times New Roman" w:cs="Times New Roman"/>
          <w:sz w:val="24"/>
          <w:szCs w:val="24"/>
          <w:highlight w:val="yellow"/>
        </w:rPr>
      </w:pPr>
      <w:r w:rsidRPr="00A15E6D">
        <w:rPr>
          <w:rFonts w:ascii="Times New Roman" w:eastAsia="Cambria" w:hAnsi="Times New Roman" w:cs="Times New Roman"/>
          <w:sz w:val="24"/>
          <w:szCs w:val="24"/>
        </w:rPr>
        <w:t>Kementerian Hukum dan Hak Asasi Manusia Republik Indonesia. (2024). Peraturan Menteri Hukum dan Hak Asasi Manusia Republik Indonesia Nomor 16 Tahun 2024 tentang pedoman pengarusutamaan hak asasi manusia dalam pembentukan peraturan perundang-undangan. Database Peraturan JDIH BPK. 1-44</w:t>
      </w:r>
    </w:p>
    <w:p w14:paraId="7EA2EDB8" w14:textId="77777777" w:rsidR="00A15E6D" w:rsidRPr="00A15E6D" w:rsidRDefault="00A15E6D" w:rsidP="00A15E6D">
      <w:pPr>
        <w:spacing w:after="120" w:line="240" w:lineRule="auto"/>
        <w:ind w:left="851" w:hanging="851"/>
        <w:jc w:val="both"/>
        <w:rPr>
          <w:rFonts w:ascii="Times New Roman" w:eastAsia="Cambria" w:hAnsi="Times New Roman" w:cs="Times New Roman"/>
          <w:sz w:val="24"/>
          <w:szCs w:val="24"/>
        </w:rPr>
      </w:pPr>
      <w:r w:rsidRPr="00A15E6D">
        <w:rPr>
          <w:rFonts w:ascii="Times New Roman" w:eastAsia="Cambria" w:hAnsi="Times New Roman" w:cs="Times New Roman"/>
          <w:sz w:val="24"/>
          <w:szCs w:val="24"/>
        </w:rPr>
        <w:t>Kementerian Imigrasi dan Pemasyarakatan Republik Indonesia. (2025). Peraturan Menteri Imigrasi dan Pemasyarakatan Republik Indonesia Nomor 2 Tahun 2025 tentang pengawasan keimigrasian dan tindakan administratif keimigrasian. Database Peraturan JDIH BPK. 1-59</w:t>
      </w:r>
    </w:p>
    <w:p w14:paraId="4B86AE72" w14:textId="77777777" w:rsidR="00A15E6D" w:rsidRPr="00A15E6D" w:rsidRDefault="00A15E6D" w:rsidP="00A15E6D">
      <w:pPr>
        <w:spacing w:after="120" w:line="240" w:lineRule="auto"/>
        <w:ind w:left="851" w:hanging="851"/>
        <w:jc w:val="both"/>
        <w:rPr>
          <w:rFonts w:ascii="Times New Roman" w:eastAsia="Cambria" w:hAnsi="Times New Roman" w:cs="Times New Roman"/>
          <w:sz w:val="24"/>
          <w:szCs w:val="24"/>
          <w:highlight w:val="yellow"/>
        </w:rPr>
      </w:pPr>
      <w:r w:rsidRPr="00A15E6D">
        <w:rPr>
          <w:rFonts w:ascii="Times New Roman" w:eastAsia="Cambria" w:hAnsi="Times New Roman" w:cs="Times New Roman"/>
          <w:sz w:val="24"/>
          <w:szCs w:val="24"/>
        </w:rPr>
        <w:t>Nations Unies. (2005). Convention de Vienne sur le droit des traités. Jus Connect, 1155, 29–33.</w:t>
      </w:r>
    </w:p>
    <w:p w14:paraId="08DF15F9" w14:textId="77777777" w:rsidR="00A15E6D" w:rsidRPr="00A15E6D" w:rsidRDefault="00A15E6D" w:rsidP="00A15E6D">
      <w:pPr>
        <w:spacing w:after="120" w:line="240" w:lineRule="auto"/>
        <w:ind w:left="851" w:hanging="851"/>
        <w:jc w:val="both"/>
        <w:rPr>
          <w:rFonts w:ascii="Times New Roman" w:eastAsia="Cambria" w:hAnsi="Times New Roman" w:cs="Times New Roman"/>
          <w:sz w:val="24"/>
          <w:szCs w:val="24"/>
        </w:rPr>
      </w:pPr>
      <w:r w:rsidRPr="00A15E6D">
        <w:rPr>
          <w:rFonts w:ascii="Times New Roman" w:eastAsia="Cambria" w:hAnsi="Times New Roman" w:cs="Times New Roman"/>
          <w:sz w:val="24"/>
          <w:szCs w:val="24"/>
        </w:rPr>
        <w:t>PBB. (1945). Piagam Perserikatan Bangsa-Bangsa dan Statuta Mahkamah Internasional. Scribd. Piagam PBB PDF</w:t>
      </w:r>
    </w:p>
    <w:p w14:paraId="715A9AAA" w14:textId="77777777" w:rsidR="00A15E6D" w:rsidRPr="00A15E6D" w:rsidRDefault="00A15E6D" w:rsidP="00A15E6D">
      <w:pPr>
        <w:spacing w:after="120" w:line="240" w:lineRule="auto"/>
        <w:ind w:left="851" w:hanging="851"/>
        <w:jc w:val="both"/>
        <w:rPr>
          <w:rFonts w:ascii="Times New Roman" w:eastAsia="Cambria" w:hAnsi="Times New Roman" w:cs="Times New Roman"/>
          <w:sz w:val="24"/>
          <w:szCs w:val="24"/>
        </w:rPr>
      </w:pPr>
      <w:r w:rsidRPr="00A15E6D">
        <w:rPr>
          <w:rFonts w:ascii="Times New Roman" w:eastAsia="Cambria" w:hAnsi="Times New Roman" w:cs="Times New Roman"/>
          <w:sz w:val="24"/>
          <w:szCs w:val="24"/>
        </w:rPr>
        <w:t>Presiden Republik Indonesia. (2000). Undang-Undang Republik Indonesia Nomor 24 Tahun 2000 Tentang Perjanjian Internasional.</w:t>
      </w:r>
    </w:p>
    <w:p w14:paraId="3BEC6837" w14:textId="77777777" w:rsidR="00A15E6D" w:rsidRPr="00A15E6D" w:rsidRDefault="00A15E6D" w:rsidP="00A15E6D">
      <w:pPr>
        <w:spacing w:after="120" w:line="240" w:lineRule="auto"/>
        <w:ind w:left="851" w:hanging="851"/>
        <w:jc w:val="both"/>
        <w:rPr>
          <w:rFonts w:ascii="Times New Roman" w:eastAsia="Cambria" w:hAnsi="Times New Roman" w:cs="Times New Roman"/>
          <w:sz w:val="24"/>
          <w:szCs w:val="24"/>
        </w:rPr>
      </w:pPr>
      <w:r w:rsidRPr="00A15E6D">
        <w:rPr>
          <w:rFonts w:ascii="Times New Roman" w:eastAsia="Cambria" w:hAnsi="Times New Roman" w:cs="Times New Roman"/>
          <w:sz w:val="24"/>
          <w:szCs w:val="24"/>
        </w:rPr>
        <w:t>Presiden Republik Indonesia. (2010). Peraturan Presiden Republik Indonesia Nomor 12 Tahun 2010 tentang Badan Nasional Pengelola Perbatasan. Database Peraturan JDIH BPK.</w:t>
      </w:r>
    </w:p>
    <w:p w14:paraId="7766D494" w14:textId="77777777" w:rsidR="00A15E6D" w:rsidRPr="00A15E6D" w:rsidRDefault="00A15E6D" w:rsidP="00A15E6D">
      <w:pPr>
        <w:spacing w:after="120" w:line="240" w:lineRule="auto"/>
        <w:ind w:left="851" w:hanging="851"/>
        <w:jc w:val="both"/>
        <w:rPr>
          <w:rFonts w:ascii="Times New Roman" w:eastAsia="Cambria" w:hAnsi="Times New Roman" w:cs="Times New Roman"/>
          <w:sz w:val="24"/>
          <w:szCs w:val="24"/>
          <w:highlight w:val="yellow"/>
        </w:rPr>
      </w:pPr>
      <w:r w:rsidRPr="00A15E6D">
        <w:rPr>
          <w:rFonts w:ascii="Times New Roman" w:eastAsia="Cambria" w:hAnsi="Times New Roman" w:cs="Times New Roman"/>
          <w:sz w:val="24"/>
          <w:szCs w:val="24"/>
        </w:rPr>
        <w:t>Presiden Republik Indonesia. (2015). Instruksi Presiden Republik Indonesia Nomor 6 Tahun 2015 tentang percepatan pembangunan 7 (tujuh) Pos Lintas Batas Negara terpadu dan sarana prasarana penunjang di kawasan perbatasan. Database Peraturan JDIH BPK</w:t>
      </w:r>
    </w:p>
    <w:p w14:paraId="3EF6205C" w14:textId="77777777" w:rsidR="00A15E6D" w:rsidRPr="00A15E6D" w:rsidRDefault="00A15E6D" w:rsidP="00A15E6D">
      <w:pPr>
        <w:spacing w:after="120" w:line="240" w:lineRule="auto"/>
        <w:ind w:left="851" w:hanging="851"/>
        <w:jc w:val="both"/>
        <w:rPr>
          <w:rFonts w:ascii="Times New Roman" w:eastAsia="Cambria" w:hAnsi="Times New Roman" w:cs="Times New Roman"/>
          <w:sz w:val="24"/>
          <w:szCs w:val="24"/>
        </w:rPr>
      </w:pPr>
      <w:r w:rsidRPr="00A15E6D">
        <w:rPr>
          <w:rFonts w:ascii="Times New Roman" w:eastAsia="Cambria" w:hAnsi="Times New Roman" w:cs="Times New Roman"/>
          <w:sz w:val="24"/>
          <w:szCs w:val="24"/>
        </w:rPr>
        <w:t>Presiden Republik Indonesia. (2019). Instruksi Presiden Republik Indonesia Nomor 1 Tahun 2019 tentang percepatan pembangunan 11 (sebelas) Pos Lintas Batas Negara terpadu dan sarana prasarana penunjang di kawasan perbatasan. Database Peraturan JDIH BPK. 1–9.</w:t>
      </w:r>
    </w:p>
    <w:p w14:paraId="03444729" w14:textId="77777777" w:rsidR="00A15E6D" w:rsidRPr="00A15E6D" w:rsidRDefault="00A15E6D" w:rsidP="00A15E6D">
      <w:pPr>
        <w:spacing w:after="120" w:line="240" w:lineRule="auto"/>
        <w:ind w:left="851" w:hanging="851"/>
        <w:jc w:val="both"/>
        <w:rPr>
          <w:rFonts w:ascii="Times New Roman" w:eastAsia="Cambria" w:hAnsi="Times New Roman" w:cs="Times New Roman"/>
          <w:sz w:val="24"/>
          <w:szCs w:val="24"/>
          <w:highlight w:val="yellow"/>
        </w:rPr>
      </w:pPr>
      <w:r w:rsidRPr="00A15E6D">
        <w:rPr>
          <w:rFonts w:ascii="Times New Roman" w:eastAsia="Cambria" w:hAnsi="Times New Roman" w:cs="Times New Roman"/>
          <w:sz w:val="24"/>
          <w:szCs w:val="24"/>
        </w:rPr>
        <w:t>Presiden Republik Indonesia. (2022). Peraturan Presiden Republik Indonesia Nomor 118 Tahun 2022 tentang rencana induk pengelolaan batas wilayah negara dan kawasan perbatasan tahun 2020–2024. Database Peraturan JDIH BPK.</w:t>
      </w:r>
    </w:p>
    <w:p w14:paraId="6D6AAC49" w14:textId="77777777" w:rsidR="00A15E6D" w:rsidRPr="00A15E6D" w:rsidRDefault="00A15E6D" w:rsidP="00A15E6D">
      <w:pPr>
        <w:spacing w:after="120" w:line="240" w:lineRule="auto"/>
        <w:ind w:left="851" w:hanging="851"/>
        <w:jc w:val="both"/>
        <w:rPr>
          <w:rFonts w:ascii="Times New Roman" w:eastAsia="Cambria" w:hAnsi="Times New Roman" w:cs="Times New Roman"/>
          <w:sz w:val="24"/>
          <w:szCs w:val="24"/>
        </w:rPr>
      </w:pPr>
      <w:r w:rsidRPr="00A15E6D">
        <w:rPr>
          <w:rFonts w:ascii="Times New Roman" w:eastAsia="Cambria" w:hAnsi="Times New Roman" w:cs="Times New Roman"/>
          <w:sz w:val="24"/>
          <w:szCs w:val="24"/>
        </w:rPr>
        <w:t xml:space="preserve">Sabar, Septiani, T., &amp; Anggraeni, H. Y. (2025). HUKUM INTERNASIONAL DAN KEDAULATAN SUATU NEGARA. AKSELERASI: Jurnal Ilmiah Nasional, 7(1), 122-127. </w:t>
      </w:r>
      <w:hyperlink r:id="rId12" w:history="1">
        <w:r w:rsidRPr="00A15E6D">
          <w:rPr>
            <w:rStyle w:val="Hyperlink"/>
            <w:rFonts w:ascii="Times New Roman" w:eastAsia="Cambria" w:hAnsi="Times New Roman" w:cs="Times New Roman"/>
            <w:sz w:val="24"/>
            <w:szCs w:val="24"/>
          </w:rPr>
          <w:t>https://doi.org/10.54783/jin.v7i1.1326</w:t>
        </w:r>
      </w:hyperlink>
    </w:p>
    <w:p w14:paraId="306055CC" w14:textId="77777777" w:rsidR="00A15E6D" w:rsidRPr="00A15E6D" w:rsidRDefault="00A15E6D" w:rsidP="00A15E6D">
      <w:pPr>
        <w:spacing w:after="120" w:line="240" w:lineRule="auto"/>
        <w:ind w:left="851" w:hanging="851"/>
        <w:jc w:val="both"/>
        <w:rPr>
          <w:rFonts w:ascii="Times New Roman" w:eastAsia="Cambria" w:hAnsi="Times New Roman" w:cs="Times New Roman"/>
          <w:sz w:val="24"/>
          <w:szCs w:val="24"/>
        </w:rPr>
      </w:pPr>
      <w:r w:rsidRPr="00A15E6D">
        <w:rPr>
          <w:rFonts w:ascii="Times New Roman" w:eastAsia="Cambria" w:hAnsi="Times New Roman" w:cs="Times New Roman"/>
          <w:sz w:val="24"/>
          <w:szCs w:val="24"/>
        </w:rPr>
        <w:t>Setiyaningsih, D., et al. (2020). Kedudukan dan kekuatan hukum memorandum of understanding (MoU) sebagai tahap prakontrak (Kajian dari sisi hukum perikatan). Jurnal Universitas Sebelas Maret Surakarta, 8(2), 173–179.</w:t>
      </w:r>
    </w:p>
    <w:p w14:paraId="7AC84574" w14:textId="77777777" w:rsidR="00A15E6D" w:rsidRPr="00A15E6D" w:rsidRDefault="00A15E6D" w:rsidP="00A15E6D">
      <w:pPr>
        <w:spacing w:after="120" w:line="240" w:lineRule="auto"/>
        <w:ind w:left="851" w:hanging="851"/>
        <w:jc w:val="both"/>
        <w:rPr>
          <w:rFonts w:ascii="Times New Roman" w:eastAsia="Cambria" w:hAnsi="Times New Roman" w:cs="Times New Roman"/>
          <w:sz w:val="24"/>
          <w:szCs w:val="24"/>
        </w:rPr>
      </w:pPr>
      <w:r w:rsidRPr="00A15E6D">
        <w:rPr>
          <w:rFonts w:ascii="Times New Roman" w:eastAsia="Cambria" w:hAnsi="Times New Roman" w:cs="Times New Roman"/>
          <w:sz w:val="24"/>
          <w:szCs w:val="24"/>
        </w:rPr>
        <w:t>Siahaan, R. G. D. (2021). The position of the international regime in contemporary international law. Jurnal Hukum Lex Generalis, 2(1), 57–67.</w:t>
      </w:r>
    </w:p>
    <w:p w14:paraId="701D64E1" w14:textId="77777777" w:rsidR="00A15E6D" w:rsidRPr="00A15E6D" w:rsidRDefault="00A15E6D" w:rsidP="00A15E6D">
      <w:pPr>
        <w:spacing w:after="120" w:line="240" w:lineRule="auto"/>
        <w:ind w:left="851" w:hanging="851"/>
        <w:jc w:val="both"/>
        <w:rPr>
          <w:rFonts w:ascii="Times New Roman" w:eastAsia="Cambria" w:hAnsi="Times New Roman" w:cs="Times New Roman"/>
          <w:sz w:val="24"/>
          <w:szCs w:val="24"/>
        </w:rPr>
      </w:pPr>
      <w:r w:rsidRPr="00A15E6D">
        <w:rPr>
          <w:rFonts w:ascii="Times New Roman" w:eastAsia="Cambria" w:hAnsi="Times New Roman" w:cs="Times New Roman"/>
          <w:sz w:val="24"/>
          <w:szCs w:val="24"/>
        </w:rPr>
        <w:t>Taqwa, M. D. (2026). Improving judicial reasoning in constitutional rights cases: The case for a structured proportionality test in the Indonesian Constitutional Court. Padjadjaran Jurnal Ilmu Hukum (Journal of Law), 13(1), Article 1. https://journal.unpad.ac.id/pjih/vol13/iss1/1</w:t>
      </w:r>
    </w:p>
    <w:p w14:paraId="32B401C0" w14:textId="77777777" w:rsidR="00A15E6D" w:rsidRPr="00A15E6D" w:rsidRDefault="00A15E6D" w:rsidP="00A15E6D">
      <w:pPr>
        <w:spacing w:after="120" w:line="240" w:lineRule="auto"/>
        <w:ind w:left="851" w:hanging="851"/>
        <w:jc w:val="both"/>
        <w:rPr>
          <w:rFonts w:ascii="Times New Roman" w:eastAsia="Cambria" w:hAnsi="Times New Roman" w:cs="Times New Roman"/>
          <w:sz w:val="24"/>
          <w:szCs w:val="24"/>
        </w:rPr>
      </w:pPr>
      <w:r w:rsidRPr="00A15E6D">
        <w:rPr>
          <w:rFonts w:ascii="Times New Roman" w:eastAsia="Cambria" w:hAnsi="Times New Roman" w:cs="Times New Roman"/>
          <w:sz w:val="24"/>
          <w:szCs w:val="24"/>
        </w:rPr>
        <w:t>World Health Organization. (2005). International health regulations (2005). (Third Edition). WHO Library Cataloguing-in-Publication Data.</w:t>
      </w:r>
    </w:p>
    <w:sectPr w:rsidR="00A15E6D" w:rsidRPr="00A15E6D" w:rsidSect="001E6473">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440" w:header="0" w:footer="0" w:gutter="0"/>
      <w:pgNumType w:start="28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D448A" w14:textId="77777777" w:rsidR="00CE7D0F" w:rsidRDefault="00CE7D0F">
      <w:pPr>
        <w:spacing w:after="0" w:line="240" w:lineRule="auto"/>
      </w:pPr>
      <w:r>
        <w:separator/>
      </w:r>
    </w:p>
  </w:endnote>
  <w:endnote w:type="continuationSeparator" w:id="0">
    <w:p w14:paraId="1BC0488A" w14:textId="77777777" w:rsidR="00CE7D0F" w:rsidRDefault="00CE7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934C7E5-3CA5-434E-867B-B9BA54267EEE}"/>
    <w:embedBold r:id="rId2" w:fontKey="{B0AFC22A-4399-4634-B593-29239304C114}"/>
    <w:embedItalic r:id="rId3" w:fontKey="{12F6F484-34E5-44C9-9C70-77D19D52F5AB}"/>
  </w:font>
  <w:font w:name="Cambria">
    <w:panose1 w:val="02040503050406030204"/>
    <w:charset w:val="00"/>
    <w:family w:val="roman"/>
    <w:pitch w:val="variable"/>
    <w:sig w:usb0="E00006FF" w:usb1="420024FF" w:usb2="02000000" w:usb3="00000000" w:csb0="0000019F" w:csb1="00000000"/>
    <w:embedRegular r:id="rId4" w:fontKey="{99608B2F-B7C6-439E-9FB4-CF8D8C6D5F19}"/>
    <w:embedBold r:id="rId5" w:fontKey="{459DEE04-0E45-4110-BA5E-BACB7D64A7E6}"/>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6" w:fontKey="{66592364-A850-4D85-9609-373C6216EC8D}"/>
    <w:embedBold r:id="rId7" w:fontKey="{5E6D79FC-D556-4343-97B3-C635EF546D15}"/>
  </w:font>
  <w:font w:name="Courier New">
    <w:panose1 w:val="02070309020205020404"/>
    <w:charset w:val="00"/>
    <w:family w:val="modern"/>
    <w:pitch w:val="fixed"/>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embedRegular r:id="rId8" w:fontKey="{0CA526D5-296D-4580-915D-177AA1E51B3C}"/>
    <w:embedBold r:id="rId9" w:fontKey="{C4537128-2A41-49AF-BDBE-FAAA13813823}"/>
  </w:font>
  <w:font w:name="Cambria Math">
    <w:panose1 w:val="02040503050406030204"/>
    <w:charset w:val="00"/>
    <w:family w:val="roman"/>
    <w:pitch w:val="variable"/>
    <w:sig w:usb0="E00006FF" w:usb1="420024FF" w:usb2="02000000" w:usb3="00000000" w:csb0="0000019F" w:csb1="00000000"/>
    <w:embedRegular r:id="rId10" w:fontKey="{63249681-7FA4-4927-9549-A685963CBF05}"/>
    <w:embedBold r:id="rId11" w:fontKey="{671081DC-5505-41D0-A40F-87613EE98BA9}"/>
  </w:font>
  <w:font w:name="Libre Baskerville">
    <w:charset w:val="00"/>
    <w:family w:val="auto"/>
    <w:pitch w:val="variable"/>
    <w:sig w:usb0="A00000BF" w:usb1="5000005B" w:usb2="00000000" w:usb3="00000000" w:csb0="00000093" w:csb1="00000000"/>
    <w:embedRegular r:id="rId12" w:fontKey="{4E55CD89-B399-4710-8FB2-2DF376FBB996}"/>
  </w:font>
  <w:font w:name="Calibri Light">
    <w:panose1 w:val="020F0302020204030204"/>
    <w:charset w:val="00"/>
    <w:family w:val="swiss"/>
    <w:pitch w:val="variable"/>
    <w:sig w:usb0="E4002EFF" w:usb1="C200247B" w:usb2="00000009" w:usb3="00000000" w:csb0="000001FF" w:csb1="00000000"/>
    <w:embedRegular r:id="rId13" w:fontKey="{D2EA57E3-820D-4C4E-B9C1-34232A9B0A6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373A1" w14:textId="77777777" w:rsidR="009F4FD4" w:rsidRPr="00867461" w:rsidRDefault="009F4FD4" w:rsidP="009F4FD4">
    <w:pPr>
      <w:pStyle w:val="Footer"/>
      <w:rPr>
        <w:rFonts w:ascii="Tahoma" w:eastAsia="Angsana New" w:hAnsi="Tahoma" w:cs="Tahoma"/>
        <w:bCs/>
        <w:color w:val="000000"/>
        <w:sz w:val="20"/>
        <w:szCs w:val="20"/>
      </w:rPr>
    </w:pPr>
    <w:r w:rsidRPr="00867461">
      <w:rPr>
        <w:rFonts w:ascii="Tahoma" w:eastAsia="Angsana New" w:hAnsi="Tahoma" w:cs="Tahoma"/>
        <w:noProof/>
        <w:sz w:val="20"/>
        <w:szCs w:val="20"/>
        <w:lang w:val="en-US"/>
      </w:rPr>
      <mc:AlternateContent>
        <mc:Choice Requires="wps">
          <w:drawing>
            <wp:anchor distT="0" distB="0" distL="114298" distR="114298" simplePos="0" relativeHeight="251662336" behindDoc="0" locked="0" layoutInCell="1" allowOverlap="1" wp14:anchorId="1CC09606" wp14:editId="234813B0">
              <wp:simplePos x="0" y="0"/>
              <wp:positionH relativeFrom="column">
                <wp:posOffset>317500</wp:posOffset>
              </wp:positionH>
              <wp:positionV relativeFrom="paragraph">
                <wp:posOffset>-95885</wp:posOffset>
              </wp:positionV>
              <wp:extent cx="0" cy="359410"/>
              <wp:effectExtent l="0" t="0" r="38100" b="2159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3E9CA5EF" id="_x0000_t32" coordsize="21600,21600" o:spt="32" o:oned="t" path="m,l21600,21600e" filled="f">
              <v:path arrowok="t" fillok="f" o:connecttype="none"/>
              <o:lock v:ext="edit" shapetype="t"/>
            </v:shapetype>
            <v:shape id="Straight Arrow Connector 5" o:spid="_x0000_s1026" type="#_x0000_t32" style="position:absolute;margin-left:25pt;margin-top:-7.55pt;width:0;height:28.3pt;z-index:251662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" strokeweight="1pt">
              <o:lock v:ext="edit" shapetype="f"/>
            </v:shape>
          </w:pict>
        </mc:Fallback>
      </mc:AlternateContent>
    </w:r>
    <w:r w:rsidRPr="00867461">
      <w:rPr>
        <w:rFonts w:ascii="Tahoma" w:eastAsia="Angsana New" w:hAnsi="Tahoma" w:cs="Tahoma"/>
        <w:color w:val="000000"/>
        <w:sz w:val="20"/>
        <w:szCs w:val="20"/>
      </w:rPr>
      <w:fldChar w:fldCharType="begin"/>
    </w:r>
    <w:r w:rsidRPr="00867461">
      <w:rPr>
        <w:rFonts w:ascii="Tahoma" w:eastAsia="Angsana New" w:hAnsi="Tahoma" w:cs="Tahoma"/>
        <w:color w:val="000000"/>
        <w:sz w:val="20"/>
        <w:szCs w:val="20"/>
      </w:rPr>
      <w:instrText>PAGE</w:instrText>
    </w:r>
    <w:r w:rsidRPr="00867461">
      <w:rPr>
        <w:rFonts w:ascii="Tahoma" w:eastAsia="Angsana New" w:hAnsi="Tahoma" w:cs="Tahoma"/>
        <w:color w:val="000000"/>
        <w:sz w:val="20"/>
        <w:szCs w:val="20"/>
      </w:rPr>
      <w:fldChar w:fldCharType="separate"/>
    </w:r>
    <w:r>
      <w:rPr>
        <w:rFonts w:ascii="Tahoma" w:eastAsia="Angsana New" w:hAnsi="Tahoma" w:cs="Tahoma"/>
        <w:color w:val="000000"/>
        <w:sz w:val="20"/>
        <w:szCs w:val="20"/>
      </w:rPr>
      <w:t>26</w:t>
    </w:r>
    <w:r>
      <w:rPr>
        <w:rFonts w:ascii="Tahoma" w:eastAsia="Angsana New" w:hAnsi="Tahoma" w:cs="Tahoma"/>
        <w:color w:val="000000"/>
        <w:sz w:val="20"/>
        <w:szCs w:val="20"/>
      </w:rPr>
      <w:t>5</w:t>
    </w:r>
    <w:r w:rsidRPr="00867461">
      <w:rPr>
        <w:rFonts w:ascii="Tahoma" w:eastAsia="Angsana New" w:hAnsi="Tahoma" w:cs="Tahoma"/>
        <w:color w:val="000000"/>
        <w:sz w:val="20"/>
        <w:szCs w:val="20"/>
      </w:rPr>
      <w:fldChar w:fldCharType="end"/>
    </w:r>
    <w:r w:rsidRPr="00867461">
      <w:rPr>
        <w:rFonts w:ascii="Tahoma" w:eastAsia="Angsana New" w:hAnsi="Tahoma" w:cs="Tahoma"/>
        <w:color w:val="000000"/>
        <w:sz w:val="20"/>
        <w:szCs w:val="20"/>
      </w:rPr>
      <w:t xml:space="preserve">  </w:t>
    </w:r>
    <w:r w:rsidRPr="00867461">
      <w:rPr>
        <w:rFonts w:ascii="Tahoma" w:eastAsia="Angsana New" w:hAnsi="Tahoma" w:cs="Tahoma"/>
        <w:color w:val="000000"/>
        <w:sz w:val="20"/>
        <w:szCs w:val="20"/>
        <w:lang w:val="en-US"/>
      </w:rPr>
      <w:t xml:space="preserve">  </w:t>
    </w:r>
    <w:r w:rsidRPr="00867461">
      <w:rPr>
        <w:rFonts w:ascii="Tahoma" w:eastAsia="Angsana New" w:hAnsi="Tahoma" w:cs="Tahoma"/>
        <w:color w:val="000000"/>
        <w:sz w:val="20"/>
        <w:szCs w:val="20"/>
      </w:rPr>
      <w:t xml:space="preserve">    </w:t>
    </w:r>
    <w:r w:rsidRPr="00867461">
      <w:rPr>
        <w:rFonts w:ascii="Tahoma" w:eastAsia="Angsana New" w:hAnsi="Tahoma" w:cs="Tahoma"/>
        <w:b/>
        <w:bCs/>
        <w:color w:val="000000"/>
        <w:sz w:val="20"/>
        <w:szCs w:val="20"/>
      </w:rPr>
      <w:t xml:space="preserve">BIROKRASI - </w:t>
    </w:r>
    <w:r w:rsidRPr="00867461">
      <w:rPr>
        <w:rFonts w:ascii="Tahoma" w:eastAsia="Angsana New" w:hAnsi="Tahoma" w:cs="Tahoma"/>
        <w:bCs/>
        <w:color w:val="000000"/>
        <w:sz w:val="20"/>
        <w:szCs w:val="20"/>
      </w:rPr>
      <w:t>VOLUME. 4, NOMOR. 1, MARET 2026</w:t>
    </w:r>
  </w:p>
  <w:p w14:paraId="26F7AB13" w14:textId="77777777" w:rsidR="009F4FD4" w:rsidRPr="00867461" w:rsidRDefault="009F4FD4" w:rsidP="009F4FD4">
    <w:pPr>
      <w:pStyle w:val="Footer"/>
      <w:rPr>
        <w:rFonts w:ascii="Tahoma" w:hAnsi="Tahoma" w:cs="Tahoma"/>
        <w:sz w:val="20"/>
        <w:szCs w:val="20"/>
        <w:lang w:val="en-US"/>
      </w:rPr>
    </w:pPr>
  </w:p>
  <w:p w14:paraId="066ACB9A" w14:textId="77777777" w:rsidR="009F4FD4" w:rsidRDefault="009F4FD4" w:rsidP="009F4FD4">
    <w:pPr>
      <w:pStyle w:val="Footer"/>
      <w:rPr>
        <w:rFonts w:ascii="Tahoma" w:hAnsi="Tahoma" w:cs="Tahoma"/>
        <w:sz w:val="20"/>
        <w:szCs w:val="20"/>
        <w:lang w:val="en-US"/>
      </w:rPr>
    </w:pPr>
  </w:p>
  <w:p w14:paraId="6C062D51" w14:textId="77777777" w:rsidR="009F4FD4" w:rsidRPr="00867461" w:rsidRDefault="009F4FD4" w:rsidP="009F4FD4">
    <w:pPr>
      <w:pStyle w:val="Footer"/>
      <w:rPr>
        <w:rFonts w:ascii="Tahoma" w:hAnsi="Tahoma" w:cs="Tahoma"/>
        <w:sz w:val="20"/>
        <w:szCs w:val="20"/>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D829B" w14:textId="77777777" w:rsidR="009F4FD4" w:rsidRDefault="009F4F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044B8" w14:textId="6E771F5C" w:rsidR="009F4FD4" w:rsidRPr="00F32E08" w:rsidRDefault="009F4FD4" w:rsidP="009F4FD4">
    <w:pPr>
      <w:pBdr>
        <w:top w:val="single" w:sz="4" w:space="1" w:color="000000"/>
        <w:left w:val="nil"/>
        <w:bottom w:val="nil"/>
        <w:right w:val="nil"/>
        <w:between w:val="nil"/>
      </w:pBdr>
      <w:spacing w:after="0" w:line="240" w:lineRule="auto"/>
      <w:rPr>
        <w:rFonts w:asciiTheme="minorHAnsi" w:eastAsia="Arial" w:hAnsiTheme="minorHAnsi" w:cstheme="minorHAnsi"/>
        <w:i/>
        <w:color w:val="000000"/>
        <w:sz w:val="20"/>
        <w:szCs w:val="20"/>
        <w:lang w:val="sv-SE"/>
      </w:rPr>
    </w:pPr>
    <w:r w:rsidRPr="00F32E08">
      <w:rPr>
        <w:rFonts w:asciiTheme="minorHAnsi" w:eastAsia="Arial" w:hAnsiTheme="minorHAnsi" w:cstheme="minorHAnsi"/>
        <w:i/>
        <w:color w:val="000000"/>
        <w:sz w:val="20"/>
        <w:szCs w:val="20"/>
        <w:lang w:val="sv-SE"/>
      </w:rPr>
      <w:t xml:space="preserve">Naskah Masuk: </w:t>
    </w:r>
    <w:r>
      <w:rPr>
        <w:rFonts w:asciiTheme="minorHAnsi" w:eastAsia="Arial" w:hAnsiTheme="minorHAnsi" w:cstheme="minorHAnsi"/>
        <w:i/>
        <w:color w:val="000000"/>
        <w:sz w:val="20"/>
        <w:szCs w:val="20"/>
        <w:lang w:val="sv-SE"/>
      </w:rPr>
      <w:t>2</w:t>
    </w:r>
    <w:r w:rsidRPr="00F32E08">
      <w:rPr>
        <w:rFonts w:asciiTheme="minorHAnsi" w:eastAsia="Arial" w:hAnsiTheme="minorHAnsi" w:cstheme="minorHAnsi"/>
        <w:i/>
        <w:color w:val="000000"/>
        <w:sz w:val="20"/>
        <w:szCs w:val="20"/>
        <w:lang w:val="sv-SE"/>
      </w:rPr>
      <w:t xml:space="preserve">5 </w:t>
    </w:r>
    <w:r>
      <w:rPr>
        <w:rFonts w:asciiTheme="minorHAnsi" w:eastAsia="Arial" w:hAnsiTheme="minorHAnsi" w:cstheme="minorHAnsi"/>
        <w:i/>
        <w:color w:val="000000"/>
        <w:sz w:val="20"/>
        <w:szCs w:val="20"/>
        <w:lang w:val="sv-SE"/>
      </w:rPr>
      <w:t>Januari</w:t>
    </w:r>
    <w:r w:rsidRPr="00F32E08">
      <w:rPr>
        <w:rFonts w:asciiTheme="minorHAnsi" w:eastAsia="Arial" w:hAnsiTheme="minorHAnsi" w:cstheme="minorHAnsi"/>
        <w:i/>
        <w:color w:val="000000"/>
        <w:sz w:val="20"/>
        <w:szCs w:val="20"/>
        <w:lang w:val="sv-SE"/>
      </w:rPr>
      <w:t xml:space="preserve"> 2026; Revisi: 24 Februari 2026; Diterima: </w:t>
    </w:r>
    <w:r>
      <w:rPr>
        <w:rFonts w:asciiTheme="minorHAnsi" w:eastAsia="Arial" w:hAnsiTheme="minorHAnsi" w:cstheme="minorHAnsi"/>
        <w:i/>
        <w:color w:val="000000"/>
        <w:sz w:val="20"/>
        <w:szCs w:val="20"/>
        <w:lang w:val="sv-SE"/>
      </w:rPr>
      <w:t>29</w:t>
    </w:r>
    <w:r w:rsidRPr="00F32E08">
      <w:rPr>
        <w:rFonts w:asciiTheme="minorHAnsi" w:eastAsia="Arial" w:hAnsiTheme="minorHAnsi" w:cstheme="minorHAnsi"/>
        <w:i/>
        <w:color w:val="000000"/>
        <w:sz w:val="20"/>
        <w:szCs w:val="20"/>
        <w:lang w:val="sv-SE"/>
      </w:rPr>
      <w:t xml:space="preserve"> Maret 2026; Terbit: 3</w:t>
    </w:r>
    <w:r>
      <w:rPr>
        <w:rFonts w:asciiTheme="minorHAnsi" w:eastAsia="Arial" w:hAnsiTheme="minorHAnsi" w:cstheme="minorHAnsi"/>
        <w:i/>
        <w:color w:val="000000"/>
        <w:sz w:val="20"/>
        <w:szCs w:val="20"/>
        <w:lang w:val="sv-SE"/>
      </w:rPr>
      <w:t>0</w:t>
    </w:r>
    <w:r w:rsidRPr="00F32E08">
      <w:rPr>
        <w:rFonts w:asciiTheme="minorHAnsi" w:eastAsia="Arial" w:hAnsiTheme="minorHAnsi" w:cstheme="minorHAnsi"/>
        <w:i/>
        <w:color w:val="000000"/>
        <w:sz w:val="20"/>
        <w:szCs w:val="20"/>
        <w:lang w:val="sv-SE"/>
      </w:rPr>
      <w:t xml:space="preserve"> Maret 2026</w:t>
    </w:r>
  </w:p>
  <w:p w14:paraId="0F291D3D" w14:textId="77777777" w:rsidR="009F4FD4" w:rsidRPr="00F32E08" w:rsidRDefault="009F4FD4" w:rsidP="009F4FD4">
    <w:pPr>
      <w:pBdr>
        <w:top w:val="single" w:sz="4" w:space="1" w:color="000000"/>
        <w:left w:val="nil"/>
        <w:bottom w:val="nil"/>
        <w:right w:val="nil"/>
        <w:between w:val="nil"/>
      </w:pBdr>
      <w:spacing w:after="0" w:line="240" w:lineRule="auto"/>
      <w:rPr>
        <w:rFonts w:asciiTheme="minorHAnsi" w:eastAsia="Arial" w:hAnsiTheme="minorHAnsi" w:cstheme="minorHAnsi"/>
        <w:i/>
        <w:color w:val="000000"/>
        <w:sz w:val="20"/>
        <w:szCs w:val="20"/>
      </w:rPr>
    </w:pPr>
    <w:r w:rsidRPr="00F32E08">
      <w:rPr>
        <w:rFonts w:asciiTheme="minorHAnsi" w:eastAsia="Arial" w:hAnsiTheme="minorHAnsi" w:cstheme="minorHAnsi"/>
        <w:i/>
        <w:color w:val="000000"/>
        <w:sz w:val="20"/>
        <w:szCs w:val="20"/>
      </w:rPr>
      <w:t xml:space="preserve"> </w:t>
    </w:r>
  </w:p>
  <w:p w14:paraId="37537132" w14:textId="77777777" w:rsidR="009F4FD4" w:rsidRPr="00F32E08" w:rsidRDefault="009F4FD4" w:rsidP="009F4FD4">
    <w:pPr>
      <w:pBdr>
        <w:top w:val="single" w:sz="4" w:space="1" w:color="000000"/>
        <w:left w:val="nil"/>
        <w:bottom w:val="nil"/>
        <w:right w:val="nil"/>
        <w:between w:val="nil"/>
      </w:pBdr>
      <w:spacing w:after="0" w:line="240" w:lineRule="auto"/>
      <w:rPr>
        <w:rFonts w:asciiTheme="minorHAnsi" w:eastAsia="Libre Baskerville" w:hAnsiTheme="minorHAnsi" w:cstheme="minorHAnsi"/>
        <w:color w:val="000000"/>
        <w:sz w:val="20"/>
        <w:szCs w:val="20"/>
      </w:rPr>
    </w:pPr>
  </w:p>
  <w:p w14:paraId="172A624F" w14:textId="77777777" w:rsidR="009F4FD4" w:rsidRPr="00F32E08" w:rsidRDefault="009F4FD4" w:rsidP="009F4FD4">
    <w:pPr>
      <w:pBdr>
        <w:top w:val="single" w:sz="4" w:space="1" w:color="000000"/>
        <w:left w:val="nil"/>
        <w:bottom w:val="nil"/>
        <w:right w:val="nil"/>
        <w:between w:val="nil"/>
      </w:pBdr>
      <w:spacing w:after="0" w:line="240" w:lineRule="auto"/>
      <w:rPr>
        <w:rFonts w:asciiTheme="minorHAnsi" w:eastAsia="Libre Baskerville" w:hAnsiTheme="minorHAnsi" w:cstheme="minorHAnsi"/>
        <w:color w:val="000000"/>
        <w:sz w:val="20"/>
        <w:szCs w:val="20"/>
      </w:rPr>
    </w:pPr>
  </w:p>
  <w:p w14:paraId="500A2DB1" w14:textId="77777777" w:rsidR="009F4FD4" w:rsidRPr="00F32E08" w:rsidRDefault="009F4FD4" w:rsidP="009F4FD4">
    <w:pPr>
      <w:pBdr>
        <w:top w:val="single" w:sz="4" w:space="1" w:color="000000"/>
        <w:left w:val="nil"/>
        <w:bottom w:val="nil"/>
        <w:right w:val="nil"/>
        <w:between w:val="nil"/>
      </w:pBdr>
      <w:spacing w:after="0" w:line="240" w:lineRule="auto"/>
      <w:rPr>
        <w:rFonts w:asciiTheme="minorHAnsi" w:eastAsia="Libre Baskerville" w:hAnsiTheme="minorHAnsi" w:cstheme="minorHAnsi"/>
        <w:color w:val="000000"/>
        <w:sz w:val="20"/>
        <w:szCs w:val="20"/>
      </w:rPr>
    </w:pPr>
  </w:p>
  <w:p w14:paraId="3187B399" w14:textId="77777777" w:rsidR="009F4FD4" w:rsidRPr="00F32E08" w:rsidRDefault="009F4FD4" w:rsidP="009F4FD4">
    <w:pPr>
      <w:pStyle w:val="Footer"/>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1DFFB" w14:textId="77777777" w:rsidR="00CE7D0F" w:rsidRDefault="00CE7D0F">
      <w:pPr>
        <w:spacing w:after="0" w:line="240" w:lineRule="auto"/>
      </w:pPr>
      <w:r>
        <w:separator/>
      </w:r>
    </w:p>
  </w:footnote>
  <w:footnote w:type="continuationSeparator" w:id="0">
    <w:p w14:paraId="7DDD3868" w14:textId="77777777" w:rsidR="00CE7D0F" w:rsidRDefault="00CE7D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622D2" w14:textId="77777777" w:rsidR="009F4FD4" w:rsidRDefault="009F4FD4" w:rsidP="009F4FD4">
    <w:pPr>
      <w:pStyle w:val="Header"/>
      <w:jc w:val="right"/>
      <w:rPr>
        <w:rFonts w:ascii="Arial" w:hAnsi="Arial" w:cs="Arial"/>
        <w:i/>
        <w:iCs/>
        <w:sz w:val="18"/>
        <w:szCs w:val="18"/>
      </w:rPr>
    </w:pPr>
  </w:p>
  <w:p w14:paraId="3EB8F202" w14:textId="77777777" w:rsidR="009F4FD4" w:rsidRDefault="009F4FD4" w:rsidP="009F4FD4">
    <w:pPr>
      <w:pStyle w:val="Header"/>
      <w:jc w:val="right"/>
      <w:rPr>
        <w:rFonts w:ascii="Arial" w:hAnsi="Arial" w:cs="Arial"/>
        <w:i/>
        <w:iCs/>
        <w:sz w:val="18"/>
        <w:szCs w:val="18"/>
      </w:rPr>
    </w:pPr>
  </w:p>
  <w:p w14:paraId="3AD1F7D2" w14:textId="77777777" w:rsidR="009F4FD4" w:rsidRDefault="009F4FD4" w:rsidP="009F4FD4">
    <w:pPr>
      <w:pStyle w:val="Header"/>
      <w:jc w:val="right"/>
      <w:rPr>
        <w:rFonts w:ascii="Arial" w:hAnsi="Arial" w:cs="Arial"/>
        <w:i/>
        <w:iCs/>
        <w:sz w:val="18"/>
        <w:szCs w:val="18"/>
      </w:rPr>
    </w:pPr>
  </w:p>
  <w:p w14:paraId="6E581DDF" w14:textId="58291330" w:rsidR="009F4FD4" w:rsidRPr="009F4FD4" w:rsidRDefault="009F4FD4" w:rsidP="009F4FD4">
    <w:pPr>
      <w:pStyle w:val="Header"/>
      <w:jc w:val="right"/>
      <w:rPr>
        <w:rFonts w:ascii="Arial" w:hAnsi="Arial" w:cs="Arial"/>
        <w:i/>
        <w:iCs/>
        <w:sz w:val="18"/>
        <w:szCs w:val="18"/>
      </w:rPr>
    </w:pPr>
    <w:r w:rsidRPr="009F4FD4">
      <w:rPr>
        <w:rFonts w:ascii="Arial" w:hAnsi="Arial" w:cs="Arial"/>
        <w:i/>
        <w:iCs/>
        <w:sz w:val="18"/>
        <w:szCs w:val="18"/>
      </w:rPr>
      <w:t>Pengelolaan Pos Lintas Batas Negara (PLBN) di Wilayah Perbatasan Darat Indonesia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1B642" w14:textId="77777777" w:rsidR="009F4FD4" w:rsidRDefault="009F4FD4" w:rsidP="009F4FD4">
    <w:pPr>
      <w:pStyle w:val="Header"/>
      <w:jc w:val="right"/>
      <w:rPr>
        <w:rFonts w:ascii="Cambria" w:eastAsia="Angsana New" w:hAnsi="Cambria" w:cs="Cambria Math"/>
        <w:noProof/>
        <w:kern w:val="2"/>
        <w:lang w:val="en-ID"/>
      </w:rPr>
    </w:pPr>
  </w:p>
  <w:p w14:paraId="6BA8B8CE" w14:textId="77777777" w:rsidR="009F4FD4" w:rsidRDefault="009F4FD4" w:rsidP="009F4FD4">
    <w:pPr>
      <w:pStyle w:val="Header"/>
      <w:jc w:val="right"/>
      <w:rPr>
        <w:rFonts w:ascii="Cambria" w:eastAsia="Angsana New" w:hAnsi="Cambria" w:cs="Cambria Math"/>
        <w:noProof/>
        <w:kern w:val="2"/>
        <w:lang w:val="en-ID"/>
      </w:rPr>
    </w:pPr>
  </w:p>
  <w:p w14:paraId="5E36DD1C" w14:textId="42C69638" w:rsidR="009F4FD4" w:rsidRDefault="009F4FD4" w:rsidP="009F4FD4">
    <w:pPr>
      <w:pStyle w:val="Header"/>
      <w:jc w:val="right"/>
    </w:pPr>
    <w:r w:rsidRPr="001E6473">
      <w:rPr>
        <w:rFonts w:ascii="Cambria" w:eastAsia="Angsana New" w:hAnsi="Cambria" w:cs="Cambria Math"/>
        <w:noProof/>
        <w:kern w:val="2"/>
        <w:lang w:val="en-ID"/>
      </w:rPr>
      <w:t>e-ISSN: 2987-8632; p-ISSN: 2987-8624; Hal.</w:t>
    </w:r>
    <w:r w:rsidRPr="001E6473">
      <w:rPr>
        <w:rFonts w:ascii="Cambria" w:eastAsia="Angsana New" w:hAnsi="Cambria" w:cs="Cambria Math"/>
        <w:noProof/>
        <w:kern w:val="2"/>
        <w:lang w:val="en-US"/>
      </w:rPr>
      <w:t xml:space="preserve"> 2</w:t>
    </w:r>
    <w:r>
      <w:rPr>
        <w:rFonts w:ascii="Cambria" w:eastAsia="Angsana New" w:hAnsi="Cambria" w:cs="Cambria Math"/>
        <w:noProof/>
        <w:kern w:val="2"/>
        <w:lang w:val="en-US"/>
      </w:rPr>
      <w:t>81</w:t>
    </w:r>
    <w:r w:rsidRPr="001E6473">
      <w:rPr>
        <w:rFonts w:ascii="Cambria" w:eastAsia="Angsana New" w:hAnsi="Cambria" w:cs="Cambria Math"/>
        <w:noProof/>
        <w:kern w:val="2"/>
        <w:lang w:val="en-US"/>
      </w:rPr>
      <w:t>-2</w:t>
    </w:r>
    <w:r>
      <w:rPr>
        <w:rFonts w:ascii="Cambria" w:eastAsia="Angsana New" w:hAnsi="Cambria" w:cs="Cambria Math"/>
        <w:noProof/>
        <w:kern w:val="2"/>
        <w:lang w:val="en-US"/>
      </w:rPr>
      <w:t>96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CB0CE" w14:textId="77777777" w:rsidR="001E6473" w:rsidRPr="001E6473" w:rsidRDefault="001E6473" w:rsidP="001E6473">
    <w:pPr>
      <w:tabs>
        <w:tab w:val="center" w:pos="4680"/>
      </w:tabs>
      <w:spacing w:after="0" w:line="240" w:lineRule="auto"/>
      <w:ind w:right="91"/>
      <w:jc w:val="right"/>
      <w:rPr>
        <w:rFonts w:ascii="Cambria" w:eastAsia="Angsana New" w:hAnsi="Cambria" w:cs="Cambria Math"/>
        <w:b/>
        <w:bCs/>
        <w:kern w:val="2"/>
        <w:shd w:val="clear" w:color="auto" w:fill="FFFFFF"/>
        <w:lang w:val="en-ID"/>
      </w:rPr>
    </w:pPr>
  </w:p>
  <w:p w14:paraId="4607A574" w14:textId="77777777" w:rsidR="001E6473" w:rsidRPr="001E6473" w:rsidRDefault="001E6473" w:rsidP="001E6473">
    <w:pPr>
      <w:tabs>
        <w:tab w:val="center" w:pos="4680"/>
      </w:tabs>
      <w:spacing w:after="0" w:line="240" w:lineRule="auto"/>
      <w:ind w:right="91"/>
      <w:jc w:val="right"/>
      <w:rPr>
        <w:rFonts w:ascii="Cambria" w:eastAsia="Angsana New" w:hAnsi="Cambria" w:cs="Cambria Math"/>
        <w:b/>
        <w:bCs/>
        <w:kern w:val="2"/>
        <w:lang w:val="en-ID"/>
      </w:rPr>
    </w:pPr>
    <w:proofErr w:type="spellStart"/>
    <w:r w:rsidRPr="001E6473">
      <w:rPr>
        <w:rFonts w:ascii="Cambria" w:eastAsia="Angsana New" w:hAnsi="Cambria" w:cs="Cambria Math"/>
        <w:b/>
        <w:bCs/>
        <w:kern w:val="2"/>
        <w:shd w:val="clear" w:color="auto" w:fill="FFFFFF"/>
        <w:lang w:val="en-ID"/>
      </w:rPr>
      <w:t>Birokrasi</w:t>
    </w:r>
    <w:proofErr w:type="spellEnd"/>
    <w:r w:rsidRPr="001E6473">
      <w:rPr>
        <w:rFonts w:ascii="Cambria" w:eastAsia="Angsana New" w:hAnsi="Cambria" w:cs="Cambria Math"/>
        <w:b/>
        <w:bCs/>
        <w:kern w:val="2"/>
        <w:shd w:val="clear" w:color="auto" w:fill="FFFFFF"/>
        <w:lang w:val="en-ID"/>
      </w:rPr>
      <w:t xml:space="preserve">: </w:t>
    </w:r>
    <w:proofErr w:type="spellStart"/>
    <w:r w:rsidRPr="001E6473">
      <w:rPr>
        <w:rFonts w:ascii="Cambria" w:eastAsia="Angsana New" w:hAnsi="Cambria" w:cs="Cambria Math"/>
        <w:b/>
        <w:bCs/>
        <w:kern w:val="2"/>
        <w:shd w:val="clear" w:color="auto" w:fill="FFFFFF"/>
        <w:lang w:val="en-ID"/>
      </w:rPr>
      <w:t>Jurnal</w:t>
    </w:r>
    <w:proofErr w:type="spellEnd"/>
    <w:r w:rsidRPr="001E6473">
      <w:rPr>
        <w:rFonts w:ascii="Cambria" w:eastAsia="Angsana New" w:hAnsi="Cambria" w:cs="Cambria Math"/>
        <w:b/>
        <w:bCs/>
        <w:kern w:val="2"/>
        <w:shd w:val="clear" w:color="auto" w:fill="FFFFFF"/>
        <w:lang w:val="en-ID"/>
      </w:rPr>
      <w:t xml:space="preserve"> </w:t>
    </w:r>
    <w:proofErr w:type="spellStart"/>
    <w:r w:rsidRPr="001E6473">
      <w:rPr>
        <w:rFonts w:ascii="Cambria" w:eastAsia="Angsana New" w:hAnsi="Cambria" w:cs="Cambria Math"/>
        <w:b/>
        <w:bCs/>
        <w:kern w:val="2"/>
        <w:shd w:val="clear" w:color="auto" w:fill="FFFFFF"/>
        <w:lang w:val="en-ID"/>
      </w:rPr>
      <w:t>Ilmu</w:t>
    </w:r>
    <w:proofErr w:type="spellEnd"/>
    <w:r w:rsidRPr="001E6473">
      <w:rPr>
        <w:rFonts w:ascii="Cambria" w:eastAsia="Angsana New" w:hAnsi="Cambria" w:cs="Cambria Math"/>
        <w:b/>
        <w:bCs/>
        <w:kern w:val="2"/>
        <w:shd w:val="clear" w:color="auto" w:fill="FFFFFF"/>
        <w:lang w:val="en-ID"/>
      </w:rPr>
      <w:t xml:space="preserve"> Hukum dan Tata Negara</w:t>
    </w:r>
  </w:p>
  <w:p w14:paraId="2E632C15" w14:textId="77777777" w:rsidR="001E6473" w:rsidRPr="001E6473" w:rsidRDefault="001E6473" w:rsidP="001E6473">
    <w:pPr>
      <w:tabs>
        <w:tab w:val="left" w:pos="3615"/>
        <w:tab w:val="center" w:pos="4680"/>
        <w:tab w:val="left" w:pos="5274"/>
        <w:tab w:val="right" w:pos="8939"/>
      </w:tabs>
      <w:spacing w:after="0" w:line="240" w:lineRule="auto"/>
      <w:ind w:right="91"/>
      <w:jc w:val="right"/>
      <w:rPr>
        <w:rFonts w:ascii="Cambria" w:eastAsia="Angsana New" w:hAnsi="Cambria" w:cs="Cambria Math"/>
        <w:b/>
        <w:kern w:val="2"/>
        <w:lang w:val="en-ID"/>
      </w:rPr>
    </w:pPr>
    <w:r w:rsidRPr="001E6473">
      <w:rPr>
        <w:rFonts w:ascii="Cambria" w:eastAsia="Angsana New" w:hAnsi="Cambria" w:cs="Cambria Math"/>
        <w:b/>
        <w:kern w:val="2"/>
        <w:lang w:val="en-ID"/>
      </w:rPr>
      <w:t xml:space="preserve">Volume. </w:t>
    </w:r>
    <w:r w:rsidRPr="001E6473">
      <w:rPr>
        <w:rFonts w:ascii="Cambria" w:eastAsia="Angsana New" w:hAnsi="Cambria" w:cs="Cambria Math"/>
        <w:b/>
        <w:kern w:val="2"/>
        <w:lang w:val="en-US"/>
      </w:rPr>
      <w:t>4</w:t>
    </w:r>
    <w:r w:rsidRPr="001E6473">
      <w:rPr>
        <w:rFonts w:ascii="Cambria" w:eastAsia="Angsana New" w:hAnsi="Cambria" w:cs="Cambria Math"/>
        <w:b/>
        <w:kern w:val="2"/>
        <w:lang w:val="en-ID"/>
      </w:rPr>
      <w:t>, No</w:t>
    </w:r>
    <w:r w:rsidRPr="001E6473">
      <w:rPr>
        <w:rFonts w:ascii="Cambria" w:eastAsia="Angsana New" w:hAnsi="Cambria" w:cs="Cambria Math"/>
        <w:b/>
        <w:kern w:val="2"/>
        <w:lang w:val="en-US"/>
      </w:rPr>
      <w:t>mor</w:t>
    </w:r>
    <w:r w:rsidRPr="001E6473">
      <w:rPr>
        <w:rFonts w:ascii="Cambria" w:eastAsia="Angsana New" w:hAnsi="Cambria" w:cs="Cambria Math"/>
        <w:b/>
        <w:kern w:val="2"/>
        <w:lang w:val="en-ID"/>
      </w:rPr>
      <w:t xml:space="preserve">. </w:t>
    </w:r>
    <w:r w:rsidRPr="001E6473">
      <w:rPr>
        <w:rFonts w:ascii="Cambria" w:eastAsia="Angsana New" w:hAnsi="Cambria" w:cs="Cambria Math"/>
        <w:b/>
        <w:kern w:val="2"/>
        <w:lang w:val="en-US"/>
      </w:rPr>
      <w:t>1</w:t>
    </w:r>
    <w:r w:rsidRPr="001E6473">
      <w:rPr>
        <w:rFonts w:ascii="Cambria" w:eastAsia="Angsana New" w:hAnsi="Cambria" w:cs="Cambria Math"/>
        <w:b/>
        <w:kern w:val="2"/>
        <w:lang w:val="en-ID"/>
      </w:rPr>
      <w:t xml:space="preserve">, </w:t>
    </w:r>
    <w:r w:rsidRPr="001E6473">
      <w:rPr>
        <w:rFonts w:ascii="Cambria" w:eastAsia="Angsana New" w:hAnsi="Cambria" w:cs="Cambria Math"/>
        <w:b/>
        <w:kern w:val="2"/>
        <w:lang w:val="en-US"/>
      </w:rPr>
      <w:t>Maret</w:t>
    </w:r>
    <w:r w:rsidRPr="001E6473">
      <w:rPr>
        <w:rFonts w:ascii="Cambria" w:eastAsia="Angsana New" w:hAnsi="Cambria" w:cs="Cambria Math"/>
        <w:b/>
        <w:kern w:val="2"/>
        <w:lang w:val="en-ID"/>
      </w:rPr>
      <w:t xml:space="preserve"> 2026</w:t>
    </w:r>
  </w:p>
  <w:p w14:paraId="2D9EEC69" w14:textId="5FFD50A5" w:rsidR="001E6473" w:rsidRPr="001E6473" w:rsidRDefault="001E6473" w:rsidP="001E6473">
    <w:pPr>
      <w:tabs>
        <w:tab w:val="center" w:pos="4680"/>
      </w:tabs>
      <w:spacing w:after="0" w:line="240" w:lineRule="auto"/>
      <w:ind w:right="91"/>
      <w:jc w:val="right"/>
      <w:rPr>
        <w:rFonts w:ascii="Cambria" w:eastAsia="Angsana New" w:hAnsi="Cambria" w:cs="Cambria Math"/>
        <w:noProof/>
        <w:kern w:val="2"/>
        <w:lang w:val="en-US"/>
      </w:rPr>
    </w:pPr>
    <w:bookmarkStart w:id="0" w:name="_Hlk178170497"/>
    <w:r w:rsidRPr="001E6473">
      <w:rPr>
        <w:rFonts w:ascii="Cambria" w:eastAsia="Angsana New" w:hAnsi="Cambria" w:cs="Cambria Math"/>
        <w:noProof/>
        <w:kern w:val="2"/>
        <w:lang w:val="en-US"/>
      </w:rPr>
      <w:drawing>
        <wp:anchor distT="0" distB="0" distL="114300" distR="114300" simplePos="0" relativeHeight="251659264" behindDoc="0" locked="0" layoutInCell="1" allowOverlap="1" wp14:anchorId="657C5AE7" wp14:editId="0D659719">
          <wp:simplePos x="0" y="0"/>
          <wp:positionH relativeFrom="margin">
            <wp:posOffset>2540</wp:posOffset>
          </wp:positionH>
          <wp:positionV relativeFrom="margin">
            <wp:posOffset>-513715</wp:posOffset>
          </wp:positionV>
          <wp:extent cx="719455" cy="287655"/>
          <wp:effectExtent l="0" t="0" r="444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6473">
      <w:rPr>
        <w:rFonts w:ascii="Cambria" w:eastAsia="Angsana New" w:hAnsi="Cambria" w:cs="Cambria Math"/>
        <w:noProof/>
        <w:kern w:val="2"/>
        <w:lang w:val="en-ID"/>
      </w:rPr>
      <w:t>e-ISSN: 2987-8632; p-ISSN: 2987-8624; Hal.</w:t>
    </w:r>
    <w:bookmarkEnd w:id="0"/>
    <w:r w:rsidRPr="001E6473">
      <w:rPr>
        <w:rFonts w:ascii="Cambria" w:eastAsia="Angsana New" w:hAnsi="Cambria" w:cs="Cambria Math"/>
        <w:noProof/>
        <w:kern w:val="2"/>
        <w:lang w:val="en-US"/>
      </w:rPr>
      <w:t xml:space="preserve"> 2</w:t>
    </w:r>
    <w:r w:rsidR="009F4FD4">
      <w:rPr>
        <w:rFonts w:ascii="Cambria" w:eastAsia="Angsana New" w:hAnsi="Cambria" w:cs="Cambria Math"/>
        <w:noProof/>
        <w:kern w:val="2"/>
        <w:lang w:val="en-US"/>
      </w:rPr>
      <w:t>81</w:t>
    </w:r>
    <w:r w:rsidRPr="001E6473">
      <w:rPr>
        <w:rFonts w:ascii="Cambria" w:eastAsia="Angsana New" w:hAnsi="Cambria" w:cs="Cambria Math"/>
        <w:noProof/>
        <w:kern w:val="2"/>
        <w:lang w:val="en-US"/>
      </w:rPr>
      <w:t>-2</w:t>
    </w:r>
    <w:r w:rsidR="009F4FD4">
      <w:rPr>
        <w:rFonts w:ascii="Cambria" w:eastAsia="Angsana New" w:hAnsi="Cambria" w:cs="Cambria Math"/>
        <w:noProof/>
        <w:kern w:val="2"/>
        <w:lang w:val="en-US"/>
      </w:rPr>
      <w:t>96</w:t>
    </w:r>
  </w:p>
  <w:p w14:paraId="44E03643" w14:textId="52ACC973" w:rsidR="001E6473" w:rsidRPr="009F4FD4" w:rsidRDefault="001E6473" w:rsidP="001E6473">
    <w:pPr>
      <w:tabs>
        <w:tab w:val="center" w:pos="4680"/>
      </w:tabs>
      <w:spacing w:after="0" w:line="240" w:lineRule="auto"/>
      <w:ind w:right="91"/>
      <w:jc w:val="right"/>
      <w:rPr>
        <w:rStyle w:val="Hyperlink"/>
        <w:rFonts w:ascii="Cambria" w:eastAsia="Angsana New" w:hAnsi="Cambria" w:cs="Cambria Math"/>
        <w:bCs/>
        <w:kern w:val="2"/>
        <w:lang w:val="en-ID"/>
      </w:rPr>
    </w:pPr>
    <w:r w:rsidRPr="001E6473">
      <w:rPr>
        <w:rFonts w:ascii="Cambria" w:eastAsia="Angsana New" w:hAnsi="Cambria" w:cs="Cambria Math"/>
        <w:noProof/>
        <w:kern w:val="2"/>
        <w:lang w:val="en-US"/>
      </w:rPr>
      <w:drawing>
        <wp:anchor distT="0" distB="0" distL="114300" distR="114300" simplePos="0" relativeHeight="251660288" behindDoc="0" locked="0" layoutInCell="1" allowOverlap="1" wp14:anchorId="3BBAEC30" wp14:editId="7D23AFA0">
          <wp:simplePos x="0" y="0"/>
          <wp:positionH relativeFrom="margin">
            <wp:posOffset>766445</wp:posOffset>
          </wp:positionH>
          <wp:positionV relativeFrom="margin">
            <wp:posOffset>-501650</wp:posOffset>
          </wp:positionV>
          <wp:extent cx="817245" cy="287655"/>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724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6473">
      <w:rPr>
        <w:rFonts w:ascii="Cambria" w:eastAsia="Angsana New" w:hAnsi="Cambria" w:cs="Cambria Math"/>
        <w:bCs/>
        <w:kern w:val="2"/>
        <w:lang w:val="en-ID"/>
      </w:rPr>
      <w:t>DOI:</w:t>
    </w:r>
    <w:r w:rsidRPr="001E6473">
      <w:rPr>
        <w:rFonts w:ascii="Cambria" w:eastAsia="Angsana New" w:hAnsi="Cambria" w:cs="Cambria Math"/>
        <w:bCs/>
        <w:kern w:val="2"/>
        <w:lang w:val="en-US"/>
      </w:rPr>
      <w:t xml:space="preserve"> </w:t>
    </w:r>
    <w:r w:rsidR="009F4FD4">
      <w:rPr>
        <w:rFonts w:ascii="Cambria" w:eastAsia="Angsana New" w:hAnsi="Cambria" w:cs="Cambria Math"/>
        <w:kern w:val="2"/>
        <w:lang w:val="en-US"/>
      </w:rPr>
      <w:fldChar w:fldCharType="begin"/>
    </w:r>
    <w:r w:rsidR="009F4FD4">
      <w:rPr>
        <w:rFonts w:ascii="Cambria" w:eastAsia="Angsana New" w:hAnsi="Cambria" w:cs="Cambria Math"/>
        <w:kern w:val="2"/>
        <w:lang w:val="en-US"/>
      </w:rPr>
      <w:instrText>HYPERLINK "https://doi.org/10.55606/birokrasi.v4i1.2552"</w:instrText>
    </w:r>
    <w:r w:rsidR="009F4FD4">
      <w:rPr>
        <w:rFonts w:ascii="Cambria" w:eastAsia="Angsana New" w:hAnsi="Cambria" w:cs="Cambria Math"/>
        <w:kern w:val="2"/>
        <w:lang w:val="en-US"/>
      </w:rPr>
    </w:r>
    <w:r w:rsidR="009F4FD4">
      <w:rPr>
        <w:rFonts w:ascii="Cambria" w:eastAsia="Angsana New" w:hAnsi="Cambria" w:cs="Cambria Math"/>
        <w:kern w:val="2"/>
        <w:lang w:val="en-US"/>
      </w:rPr>
      <w:fldChar w:fldCharType="separate"/>
    </w:r>
    <w:r w:rsidR="009F4FD4" w:rsidRPr="009F4FD4">
      <w:rPr>
        <w:rStyle w:val="Hyperlink"/>
        <w:rFonts w:ascii="Cambria" w:eastAsia="Angsana New" w:hAnsi="Cambria" w:cs="Cambria Math"/>
        <w:kern w:val="2"/>
        <w:lang w:val="en-US"/>
      </w:rPr>
      <w:t>https://doi.org/10.55606/birokrasi.v4i1.25</w:t>
    </w:r>
    <w:r w:rsidR="009F4FD4" w:rsidRPr="009F4FD4">
      <w:rPr>
        <w:rStyle w:val="Hyperlink"/>
        <w:rFonts w:ascii="Cambria" w:eastAsia="Angsana New" w:hAnsi="Cambria" w:cs="Cambria Math"/>
        <w:kern w:val="2"/>
        <w:lang w:val="en-US"/>
      </w:rPr>
      <w:t>52</w:t>
    </w:r>
  </w:p>
  <w:p w14:paraId="688E7211" w14:textId="60B94EF2" w:rsidR="001E6473" w:rsidRPr="001E6473" w:rsidRDefault="009F4FD4" w:rsidP="001E6473">
    <w:pPr>
      <w:pBdr>
        <w:bottom w:val="single" w:sz="4" w:space="1" w:color="auto"/>
      </w:pBdr>
      <w:tabs>
        <w:tab w:val="center" w:pos="4680"/>
      </w:tabs>
      <w:spacing w:after="0" w:line="240" w:lineRule="auto"/>
      <w:ind w:right="91"/>
      <w:jc w:val="right"/>
      <w:rPr>
        <w:rFonts w:ascii="Cambria" w:eastAsia="Angsana New" w:hAnsi="Cambria"/>
        <w:bCs/>
        <w:kern w:val="2"/>
        <w:sz w:val="21"/>
        <w:szCs w:val="21"/>
        <w:lang w:val="en-ID"/>
      </w:rPr>
    </w:pPr>
    <w:r>
      <w:rPr>
        <w:rFonts w:ascii="Cambria" w:eastAsia="Angsana New" w:hAnsi="Cambria" w:cs="Cambria Math"/>
        <w:kern w:val="2"/>
        <w:lang w:val="en-US"/>
      </w:rPr>
      <w:fldChar w:fldCharType="end"/>
    </w:r>
    <w:proofErr w:type="spellStart"/>
    <w:r w:rsidR="001E6473" w:rsidRPr="001E6473">
      <w:rPr>
        <w:rFonts w:ascii="Cambria" w:eastAsia="Angsana New" w:hAnsi="Cambria"/>
        <w:bCs/>
        <w:kern w:val="2"/>
        <w:sz w:val="21"/>
        <w:szCs w:val="21"/>
        <w:lang w:val="en-US"/>
      </w:rPr>
      <w:t>Tersedia</w:t>
    </w:r>
    <w:proofErr w:type="spellEnd"/>
    <w:r w:rsidR="001E6473" w:rsidRPr="001E6473">
      <w:rPr>
        <w:rFonts w:ascii="Cambria" w:eastAsia="Angsana New" w:hAnsi="Cambria"/>
        <w:bCs/>
        <w:kern w:val="2"/>
        <w:sz w:val="21"/>
        <w:szCs w:val="21"/>
        <w:lang w:val="en-ID"/>
      </w:rPr>
      <w:t xml:space="preserve">: </w:t>
    </w:r>
    <w:hyperlink r:id="rId3" w:history="1">
      <w:r w:rsidR="001E6473" w:rsidRPr="001E6473">
        <w:rPr>
          <w:rStyle w:val="Hyperlink"/>
          <w:rFonts w:ascii="Cambria" w:eastAsia="Angsana New" w:hAnsi="Cambria"/>
          <w:bCs/>
          <w:kern w:val="2"/>
          <w:sz w:val="21"/>
          <w:szCs w:val="21"/>
          <w:lang w:val="en-ID"/>
        </w:rPr>
        <w:t>https://journal-stiayappimakassar.ac.id/index.php/Birokrasi</w:t>
      </w:r>
    </w:hyperlink>
  </w:p>
  <w:p w14:paraId="1027766D" w14:textId="7C7158D6" w:rsidR="003C085F" w:rsidRPr="001E6473" w:rsidRDefault="003C085F" w:rsidP="001E6473">
    <w:pPr>
      <w:pStyle w:val="Header"/>
      <w:rPr>
        <w:rFonts w:ascii="Cambria" w:hAnsi="Cambr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713FC"/>
    <w:multiLevelType w:val="hybridMultilevel"/>
    <w:tmpl w:val="AE3A984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FD07EB2"/>
    <w:multiLevelType w:val="multilevel"/>
    <w:tmpl w:val="AC26A1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6760CDD"/>
    <w:multiLevelType w:val="multilevel"/>
    <w:tmpl w:val="20AE20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483039362">
    <w:abstractNumId w:val="2"/>
  </w:num>
  <w:num w:numId="2" w16cid:durableId="1986347921">
    <w:abstractNumId w:val="1"/>
  </w:num>
  <w:num w:numId="3" w16cid:durableId="352730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85F"/>
    <w:rsid w:val="00043BE8"/>
    <w:rsid w:val="000457B5"/>
    <w:rsid w:val="00131457"/>
    <w:rsid w:val="00173279"/>
    <w:rsid w:val="00191D1C"/>
    <w:rsid w:val="001E6473"/>
    <w:rsid w:val="003C085F"/>
    <w:rsid w:val="004436DD"/>
    <w:rsid w:val="005E286E"/>
    <w:rsid w:val="00656B43"/>
    <w:rsid w:val="006E616E"/>
    <w:rsid w:val="006F228C"/>
    <w:rsid w:val="007017E2"/>
    <w:rsid w:val="00737D16"/>
    <w:rsid w:val="007A460A"/>
    <w:rsid w:val="008A0D7A"/>
    <w:rsid w:val="00902771"/>
    <w:rsid w:val="00961ED9"/>
    <w:rsid w:val="00993F17"/>
    <w:rsid w:val="009F4FD4"/>
    <w:rsid w:val="00A10614"/>
    <w:rsid w:val="00A15E6D"/>
    <w:rsid w:val="00A444B1"/>
    <w:rsid w:val="00A67C46"/>
    <w:rsid w:val="00AA3124"/>
    <w:rsid w:val="00AB61FC"/>
    <w:rsid w:val="00AC0C3D"/>
    <w:rsid w:val="00B22A77"/>
    <w:rsid w:val="00BA245F"/>
    <w:rsid w:val="00BD0450"/>
    <w:rsid w:val="00CC0C70"/>
    <w:rsid w:val="00CE7D0F"/>
    <w:rsid w:val="00DF0624"/>
    <w:rsid w:val="00E660DC"/>
    <w:rsid w:val="00EA7B44"/>
    <w:rsid w:val="00FD7710"/>
    <w:rsid w:val="00FE2D88"/>
    <w:rsid w:val="00FF4A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B87AA"/>
  <w15:docId w15:val="{9AB77870-7008-4B61-BDD3-B5C637607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uiPriority w:val="9"/>
    <w:semiHidden/>
    <w:unhideWhenUsed/>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uiPriority w:val="9"/>
    <w:semiHidden/>
    <w:unhideWhenUsed/>
    <w:qFormat/>
    <w:pPr>
      <w:keepNext/>
      <w:keepLines/>
      <w:spacing w:before="200" w:after="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qFormat/>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customStyle="1" w:styleId="UnresolvedMention2">
    <w:name w:val="Unresolved Mention2"/>
    <w:basedOn w:val="DefaultParagraphFont"/>
    <w:uiPriority w:val="99"/>
    <w:semiHidden/>
    <w:unhideWhenUsed/>
    <w:rsid w:val="002F29B1"/>
    <w:rPr>
      <w:color w:val="605E5C"/>
      <w:shd w:val="clear" w:color="auto" w:fill="E1DFDD"/>
    </w:rPr>
  </w:style>
  <w:style w:type="paragraph" w:customStyle="1" w:styleId="Penulis">
    <w:name w:val="Penulis"/>
    <w:basedOn w:val="Normal"/>
    <w:qFormat/>
    <w:rsid w:val="008A1AF0"/>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styleId="Strong">
    <w:name w:val="Strong"/>
    <w:uiPriority w:val="22"/>
    <w:qFormat/>
    <w:rsid w:val="004D3C1C"/>
    <w:rPr>
      <w:b/>
      <w:bCs/>
    </w:rPr>
  </w:style>
  <w:style w:type="character" w:customStyle="1" w:styleId="JudulChar">
    <w:name w:val="Judul Char"/>
    <w:link w:val="Judul"/>
    <w:locked/>
    <w:rsid w:val="004D3C1C"/>
    <w:rPr>
      <w:rFonts w:ascii="Arial" w:hAnsi="Arial" w:cs="Arial"/>
      <w:b/>
      <w:bCs/>
      <w:kern w:val="32"/>
      <w:sz w:val="28"/>
      <w:szCs w:val="32"/>
      <w:lang w:eastAsia="ja-JP"/>
    </w:rPr>
  </w:style>
  <w:style w:type="paragraph" w:customStyle="1" w:styleId="Judul">
    <w:name w:val="Judul"/>
    <w:basedOn w:val="Heading1"/>
    <w:link w:val="JudulChar"/>
    <w:rsid w:val="004D3C1C"/>
    <w:pPr>
      <w:adjustRightInd w:val="0"/>
      <w:snapToGrid w:val="0"/>
      <w:spacing w:before="360" w:after="240" w:line="240" w:lineRule="auto"/>
      <w:contextualSpacing/>
      <w:jc w:val="center"/>
    </w:pPr>
    <w:rPr>
      <w:rFonts w:ascii="Arial" w:eastAsia="Calibri" w:hAnsi="Arial" w:cs="Arial"/>
      <w:bCs/>
      <w:kern w:val="32"/>
      <w:sz w:val="28"/>
      <w:lang w:eastAsia="ja-JP"/>
    </w:rPr>
  </w:style>
  <w:style w:type="table" w:customStyle="1" w:styleId="a0">
    <w:basedOn w:val="TableNormal"/>
    <w:tblPr>
      <w:tblStyleRowBandSize w:val="1"/>
      <w:tblStyleColBandSize w:val="1"/>
    </w:tblPr>
  </w:style>
  <w:style w:type="character" w:customStyle="1" w:styleId="UnresolvedMention3">
    <w:name w:val="Unresolved Mention3"/>
    <w:basedOn w:val="DefaultParagraphFont"/>
    <w:uiPriority w:val="99"/>
    <w:semiHidden/>
    <w:unhideWhenUsed/>
    <w:rsid w:val="00BA245F"/>
    <w:rPr>
      <w:color w:val="605E5C"/>
      <w:shd w:val="clear" w:color="auto" w:fill="E1DFDD"/>
    </w:rPr>
  </w:style>
  <w:style w:type="character" w:styleId="FootnoteReference">
    <w:name w:val="footnote reference"/>
    <w:uiPriority w:val="99"/>
    <w:semiHidden/>
    <w:unhideWhenUsed/>
    <w:rsid w:val="00BA245F"/>
    <w:rPr>
      <w:vertAlign w:val="superscript"/>
    </w:rPr>
  </w:style>
  <w:style w:type="paragraph" w:styleId="FootnoteText">
    <w:name w:val="footnote text"/>
    <w:link w:val="FootnoteTextChar"/>
    <w:uiPriority w:val="99"/>
    <w:semiHidden/>
    <w:unhideWhenUsed/>
    <w:rsid w:val="00BA245F"/>
    <w:pPr>
      <w:spacing w:after="0" w:line="240" w:lineRule="auto"/>
    </w:pPr>
    <w:rPr>
      <w:rFonts w:ascii="Times New Roman" w:eastAsia="Times New Roman" w:hAnsi="Times New Roman" w:cs="Times New Roman"/>
      <w:sz w:val="20"/>
      <w:szCs w:val="20"/>
      <w:lang w:val="en-ID" w:eastAsia="en-ID"/>
    </w:rPr>
  </w:style>
  <w:style w:type="character" w:customStyle="1" w:styleId="FootnoteTextChar">
    <w:name w:val="Footnote Text Char"/>
    <w:basedOn w:val="DefaultParagraphFont"/>
    <w:link w:val="FootnoteText"/>
    <w:uiPriority w:val="99"/>
    <w:semiHidden/>
    <w:rsid w:val="00BA245F"/>
    <w:rPr>
      <w:rFonts w:ascii="Times New Roman" w:eastAsia="Times New Roman" w:hAnsi="Times New Roman" w:cs="Times New Roman"/>
      <w:sz w:val="20"/>
      <w:szCs w:val="20"/>
      <w:lang w:val="en-ID" w:eastAsia="en-ID"/>
    </w:rPr>
  </w:style>
  <w:style w:type="character" w:styleId="FollowedHyperlink">
    <w:name w:val="FollowedHyperlink"/>
    <w:basedOn w:val="DefaultParagraphFont"/>
    <w:uiPriority w:val="99"/>
    <w:semiHidden/>
    <w:unhideWhenUsed/>
    <w:rsid w:val="006E616E"/>
    <w:rPr>
      <w:color w:val="954F72" w:themeColor="followedHyperlink"/>
      <w:u w:val="single"/>
    </w:rPr>
  </w:style>
  <w:style w:type="character" w:styleId="UnresolvedMention">
    <w:name w:val="Unresolved Mention"/>
    <w:basedOn w:val="DefaultParagraphFont"/>
    <w:uiPriority w:val="99"/>
    <w:semiHidden/>
    <w:unhideWhenUsed/>
    <w:rsid w:val="00A15E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elatielpinasiahaan@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54783/jin.v7i1.1326"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latielpinasiahaan@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tiurmalau0301@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aragihjelita27@gmail.com"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3" Type="http://schemas.openxmlformats.org/officeDocument/2006/relationships/hyperlink" Target="https://journal-stiayappimakassar.ac.id/index.php/Birokrasi"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cBAgGIR6SA7JtkXITilS4H4Quw==">CgMxLjAyCWguMWZvYjl0ZTIJaC4xZm9iOXRlMgloLjFmb2I5dGUyDmguNGEwOHI0OWNzNm15MgloLjFmb2I5dGUyDmguZGlyNTBycjd0NzEyMgloLjFmb2I5dGUyCWguMWZvYjl0ZTIJaC4xZm9iOXRlMgloLjFmb2I5dGUyCWguMWZvYjl0ZTIJaC4xZm9iOXRlMgloLjFmb2I5dGUyDmgubzluNWQ5YTN0YWN5Mg5oLnFxZGk4cW9rZHRndjIOaC50YmM4bW96ODdmaGUyDmgudGJjOG1vejg3ZmhlMg5oLnRiYzhtb3o4N2ZoZTIOaC50YmM4bW96ODdmaGUyDmgudGJjOG1vejg3ZmhlMgloLjFmb2I5dGU4AHIhMUxnSzhYNFZnRXVIWC12U1ZKSWdBZWkwbGdSZEZfX1l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6712</Words>
  <Characters>38262</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Reviewer</cp:lastModifiedBy>
  <cp:revision>2</cp:revision>
  <dcterms:created xsi:type="dcterms:W3CDTF">2026-06-04T03:58:00Z</dcterms:created>
  <dcterms:modified xsi:type="dcterms:W3CDTF">2026-06-04T03:58:00Z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